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 w:after="0" w:afterAutospacing="0" w:before="0" w:beforeAutospacing="0"/>
        <w:ind/>
        <w:jc w:val="center"/>
        <w:rPr>
          <w:rFonts w:ascii="Arial" w:hAnsi="Arial" w:eastAsia="Calibri" w:cs="Arial"/>
          <w:b/>
          <w:bCs/>
          <w:highlight w:val="none"/>
        </w:rPr>
      </w:pPr>
      <w:r>
        <w:rPr>
          <w:rFonts w:ascii="Arial" w:hAnsi="Arial" w:eastAsia="Calibri" w:cs="Arial"/>
          <w:b/>
        </w:rPr>
        <w:t xml:space="preserve">РОССИЙСКАЯ ФЕДЕРАЦИЯ</w:t>
      </w:r>
      <w:r>
        <w:rPr>
          <w:rFonts w:ascii="Arial" w:hAnsi="Arial" w:eastAsia="Calibri" w:cs="Arial"/>
          <w:b/>
          <w:bCs/>
          <w:highlight w:val="none"/>
        </w:rPr>
      </w:r>
      <w:r>
        <w:rPr>
          <w:rFonts w:ascii="Arial" w:hAnsi="Arial" w:eastAsia="Calibri" w:cs="Arial"/>
          <w:b/>
          <w:bCs/>
          <w:highlight w:val="none"/>
        </w:rPr>
      </w:r>
    </w:p>
    <w:p>
      <w:pPr>
        <w:pBdr/>
        <w:spacing w:after="0" w:afterAutospacing="0" w:before="0" w:beforeAutospacing="0"/>
        <w:ind/>
        <w:jc w:val="center"/>
        <w:rPr>
          <w:rFonts w:ascii="Arial" w:hAnsi="Arial" w:eastAsia="Calibri" w:cs="Arial"/>
          <w:b/>
          <w:bCs/>
          <w:highlight w:val="none"/>
        </w:rPr>
      </w:pPr>
      <w:r>
        <w:rPr>
          <w:rFonts w:ascii="Arial" w:hAnsi="Arial" w:eastAsia="Calibri" w:cs="Arial"/>
          <w:b/>
        </w:rPr>
        <w:t xml:space="preserve">КОСТРОМСКАЯ ОБЛАСТЬ</w:t>
      </w:r>
      <w:r>
        <w:rPr>
          <w:rFonts w:ascii="Arial" w:hAnsi="Arial" w:eastAsia="Calibri" w:cs="Arial"/>
          <w:b/>
          <w:bCs/>
          <w:highlight w:val="none"/>
        </w:rPr>
      </w:r>
      <w:r>
        <w:rPr>
          <w:rFonts w:ascii="Arial" w:hAnsi="Arial" w:eastAsia="Calibri" w:cs="Arial"/>
          <w:b/>
          <w:bCs/>
          <w:highlight w:val="none"/>
        </w:rPr>
      </w:r>
    </w:p>
    <w:p>
      <w:pPr>
        <w:pBdr/>
        <w:spacing w:after="0" w:afterAutospacing="0" w:before="0" w:beforeAutospacing="0"/>
        <w:ind/>
        <w:jc w:val="center"/>
        <w:rPr/>
      </w:pPr>
      <w:r>
        <w:rPr>
          <w:rFonts w:ascii="Arial" w:hAnsi="Arial" w:eastAsia="Calibri" w:cs="Arial"/>
          <w:b/>
          <w:highlight w:val="none"/>
        </w:rPr>
      </w:r>
      <w:r>
        <w:rPr>
          <w:rFonts w:ascii="Arial" w:hAnsi="Arial" w:eastAsia="Calibri" w:cs="Arial"/>
          <w:b/>
          <w:highlight w:val="none"/>
        </w:rPr>
      </w:r>
      <w:r/>
    </w:p>
    <w:p>
      <w:pPr>
        <w:pBdr/>
        <w:spacing w:after="0" w:afterAutospacing="0" w:before="0" w:beforeAutospacing="0"/>
        <w:ind/>
        <w:jc w:val="center"/>
        <w:rPr>
          <w:rFonts w:ascii="Arial" w:hAnsi="Arial" w:eastAsia="Calibri" w:cs="Arial"/>
          <w:b/>
          <w:bCs/>
          <w:highlight w:val="none"/>
        </w:rPr>
      </w:pPr>
      <w:r>
        <w:rPr>
          <w:rFonts w:ascii="Arial" w:hAnsi="Arial" w:eastAsia="Calibri" w:cs="Arial"/>
          <w:b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38175" cy="838200"/>
                <wp:effectExtent l="0" t="0" r="0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3"/>
                        <a:stretch/>
                      </pic:blipFill>
                      <pic:spPr bwMode="auto">
                        <a:xfrm>
                          <a:off x="0" y="0"/>
                          <a:ext cx="638175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50.25pt;height:66.00pt;mso-wrap-distance-left:0.00pt;mso-wrap-distance-top:0.00pt;mso-wrap-distance-right:0.00pt;mso-wrap-distance-bottom:0.00pt;z-index:1;" stroked="f">
                <v:imagedata r:id="rId13" o:title=""/>
                <o:lock v:ext="edit" rotation="t"/>
              </v:shape>
            </w:pict>
          </mc:Fallback>
        </mc:AlternateContent>
      </w:r>
      <w:r>
        <w:rPr>
          <w:rFonts w:ascii="Arial" w:hAnsi="Arial" w:eastAsia="Calibri" w:cs="Arial"/>
          <w:b/>
          <w:bCs/>
          <w:highlight w:val="none"/>
        </w:rPr>
      </w:r>
      <w:r>
        <w:rPr>
          <w:rFonts w:ascii="Arial" w:hAnsi="Arial" w:eastAsia="Calibri" w:cs="Arial"/>
          <w:b/>
          <w:bCs/>
          <w:highlight w:val="none"/>
        </w:rPr>
      </w:r>
    </w:p>
    <w:p>
      <w:pPr>
        <w:pBdr/>
        <w:spacing w:after="0" w:afterAutospacing="0" w:before="0" w:beforeAutospacing="0"/>
        <w:ind/>
        <w:jc w:val="center"/>
        <w:rPr/>
      </w:pPr>
      <w:r>
        <w:rPr>
          <w:rFonts w:ascii="Arial" w:hAnsi="Arial" w:eastAsia="Calibri" w:cs="Arial"/>
          <w:b/>
          <w:highlight w:val="none"/>
        </w:rPr>
      </w:r>
      <w:r>
        <w:rPr>
          <w:rFonts w:ascii="Arial" w:hAnsi="Arial" w:eastAsia="Calibri" w:cs="Arial"/>
          <w:b/>
          <w:highlight w:val="none"/>
        </w:rPr>
      </w:r>
      <w:r/>
    </w:p>
    <w:p>
      <w:pPr>
        <w:pBdr/>
        <w:spacing w:after="0" w:afterAutospacing="0" w:before="0" w:beforeAutospacing="0"/>
        <w:ind/>
        <w:jc w:val="center"/>
        <w:rPr/>
      </w:pPr>
      <w:r>
        <w:rPr>
          <w:rFonts w:ascii="Arial" w:hAnsi="Arial" w:eastAsia="Calibri" w:cs="Arial"/>
          <w:b/>
        </w:rPr>
        <w:t xml:space="preserve">ДУМА ГОРОДСКОГО ОКРУГА ГОРОД ШАРЬЯ СЕДЬМОГО СОЗЫВА</w:t>
      </w:r>
      <w:r/>
    </w:p>
    <w:p>
      <w:pPr>
        <w:pBdr/>
        <w:spacing w:after="0" w:afterAutospacing="0" w:before="0" w:beforeAutospacing="0"/>
        <w:ind/>
        <w:jc w:val="both"/>
        <w:rPr/>
      </w:pPr>
      <w:r/>
      <w:r/>
    </w:p>
    <w:p>
      <w:pPr>
        <w:pBdr/>
        <w:spacing w:after="0" w:afterAutospacing="0" w:before="0" w:beforeAutospacing="0"/>
        <w:ind/>
        <w:jc w:val="center"/>
        <w:rPr/>
      </w:pPr>
      <w:r>
        <w:rPr>
          <w:rFonts w:ascii="Arial" w:hAnsi="Arial" w:eastAsia="Calibri" w:cs="Arial"/>
          <w:b/>
        </w:rPr>
        <w:t xml:space="preserve">РЕШЕНИЕ</w:t>
      </w:r>
      <w:r/>
    </w:p>
    <w:p>
      <w:pPr>
        <w:widowControl w:val="false"/>
        <w:pBdr/>
        <w:spacing w:after="0" w:afterAutospacing="0" w:before="0" w:beforeAutospacing="0"/>
        <w:ind w:right="-2"/>
        <w:jc w:val="right"/>
        <w:rPr>
          <w:rFonts w:ascii="Arial" w:hAnsi="Arial" w:eastAsia="Calibri" w:cs="Arial"/>
        </w:rPr>
      </w:pPr>
      <w:r>
        <w:rPr>
          <w:rFonts w:ascii="Arial" w:hAnsi="Arial" w:eastAsia="Calibri" w:cs="Arial"/>
        </w:rPr>
      </w:r>
      <w:r>
        <w:rPr>
          <w:rFonts w:ascii="Arial" w:hAnsi="Arial" w:eastAsia="Calibri" w:cs="Arial"/>
        </w:rPr>
      </w:r>
      <w:r>
        <w:rPr>
          <w:rFonts w:ascii="Arial" w:hAnsi="Arial" w:eastAsia="Calibri" w:cs="Arial"/>
        </w:rPr>
      </w:r>
    </w:p>
    <w:p>
      <w:pPr>
        <w:widowControl w:val="false"/>
        <w:pBdr/>
        <w:spacing w:after="0" w:afterAutospacing="0" w:before="0" w:beforeAutospacing="0"/>
        <w:ind w:right="-2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 xml:space="preserve">Принято 28 августа 2025 года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widowControl w:val="false"/>
        <w:pBdr/>
        <w:spacing w:after="0" w:afterAutospacing="0" w:before="0" w:beforeAutospacing="0"/>
        <w:ind w:right="5528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widowControl w:val="false"/>
        <w:pBdr/>
        <w:spacing w:after="0" w:afterAutospacing="0" w:before="0" w:beforeAutospacing="0"/>
        <w:ind w:right="5528"/>
        <w:jc w:val="both"/>
        <w:outlineLvl w:val="0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/>
          <w:sz w:val="24"/>
          <w:szCs w:val="24"/>
          <w:highlight w:val="white"/>
          <w:lang w:eastAsia="en-US"/>
        </w:rPr>
        <w:t xml:space="preserve">О внесении изменений в решение Думы городского округа город Шарья от 28.10.2021 №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 </w:t>
      </w:r>
      <w:r>
        <w:rPr>
          <w:rFonts w:ascii="Arial" w:hAnsi="Arial" w:eastAsia="Arial" w:cs="Arial"/>
          <w:sz w:val="24"/>
          <w:szCs w:val="24"/>
          <w:highlight w:val="white"/>
          <w:lang w:eastAsia="en-US"/>
        </w:rPr>
        <w:t xml:space="preserve">47-ДН «Об утверждении Положения о муниципальном жилищном контроле на территории городского округа город Шарья Костромской области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»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pacing w:line="259" w:lineRule="auto"/>
        <w:ind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pacing w:line="266" w:lineRule="exact"/>
        <w:ind w:firstLine="709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/>
          <w:sz w:val="24"/>
          <w:szCs w:val="24"/>
          <w:highlight w:val="white"/>
        </w:rPr>
        <w:t xml:space="preserve">Рассмотрев проект решения Думы городского округа город Шарья «О внесении изменений в решение Думы городского округа город Ша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рья от 28.10.2021 № 47-ДН «</w:t>
      </w:r>
      <w:r>
        <w:rPr>
          <w:rFonts w:ascii="Arial" w:hAnsi="Arial" w:eastAsia="Arial" w:cs="Arial"/>
          <w:sz w:val="24"/>
          <w:szCs w:val="24"/>
          <w:highlight w:val="white"/>
          <w:lang w:eastAsia="en-US"/>
        </w:rPr>
        <w:t xml:space="preserve">Об утверждении Положения о муниципальном жилищном контроле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 на территории городского округа город Шарья Костромской области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», внесенный главой городского округа город Шарья,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 в </w:t>
      </w:r>
      <w:r>
        <w:rPr>
          <w:rFonts w:ascii="Arial" w:hAnsi="Arial" w:eastAsia="Arial" w:cs="Arial"/>
          <w:sz w:val="24"/>
          <w:szCs w:val="24"/>
          <w:highlight w:val="white"/>
          <w:lang w:eastAsia="en-US"/>
        </w:rPr>
        <w:t xml:space="preserve">соответствии со статьей 16 Федерального закона от 06.10</w:t>
      </w:r>
      <w:r>
        <w:rPr>
          <w:rFonts w:ascii="Arial" w:hAnsi="Arial" w:eastAsia="Arial" w:cs="Arial"/>
          <w:sz w:val="24"/>
          <w:szCs w:val="24"/>
          <w:highlight w:val="white"/>
          <w:lang w:eastAsia="en-US"/>
        </w:rPr>
        <w:t xml:space="preserve">.2003 № 131-ФЗ «Об общих принципах организации местного самоуправления в Российской</w:t>
      </w:r>
      <w:r>
        <w:rPr>
          <w:rFonts w:ascii="Arial" w:hAnsi="Arial" w:eastAsia="Arial" w:cs="Arial"/>
          <w:sz w:val="24"/>
          <w:szCs w:val="24"/>
          <w:highlight w:val="white"/>
          <w:lang w:eastAsia="en-US"/>
        </w:rPr>
        <w:t xml:space="preserve"> Федерации»,</w:t>
      </w:r>
      <w:r>
        <w:rPr>
          <w:rFonts w:ascii="Arial" w:hAnsi="Arial" w:eastAsia="Arial" w:cs="Arial"/>
          <w:sz w:val="24"/>
          <w:szCs w:val="24"/>
          <w:highlight w:val="white"/>
          <w:lang w:eastAsia="en-US"/>
        </w:rPr>
        <w:t xml:space="preserve"> статьёй 23 </w:t>
      </w:r>
      <w:r>
        <w:rPr>
          <w:rFonts w:ascii="Arial" w:hAnsi="Arial" w:eastAsia="Arial" w:cs="Arial"/>
          <w:sz w:val="24"/>
          <w:szCs w:val="24"/>
          <w:highlight w:val="white"/>
          <w:lang w:eastAsia="en-US"/>
        </w:rPr>
        <w:t xml:space="preserve">Федерального закона от 31.07.2020 № 248-ФЗ «О государственном контроле (надзоре) и муниципальном контроле в Российской Федерации»</w:t>
      </w:r>
      <w:r>
        <w:rPr>
          <w:rFonts w:ascii="Arial" w:hAnsi="Arial" w:eastAsia="Arial" w:cs="Arial" w:eastAsiaTheme="minorHAnsi"/>
          <w:sz w:val="24"/>
          <w:szCs w:val="24"/>
          <w:highlight w:val="white"/>
          <w:lang w:eastAsia="en-US"/>
        </w:rPr>
        <w:t xml:space="preserve">, </w:t>
      </w:r>
      <w:r>
        <w:rPr>
          <w:rFonts w:ascii="Arial" w:hAnsi="Arial" w:eastAsia="Arial" w:cs="Arial"/>
          <w:spacing w:val="2"/>
          <w:sz w:val="24"/>
          <w:szCs w:val="24"/>
          <w:highlight w:val="white"/>
        </w:rPr>
        <w:t xml:space="preserve">руководствуясь ста</w:t>
      </w:r>
      <w:r>
        <w:rPr>
          <w:rFonts w:ascii="Arial" w:hAnsi="Arial" w:eastAsia="Arial" w:cs="Arial"/>
          <w:spacing w:val="2"/>
          <w:sz w:val="24"/>
          <w:szCs w:val="24"/>
          <w:highlight w:val="white"/>
        </w:rPr>
        <w:t xml:space="preserve">тьями 24, 30, 33.1, 38, 41, 44 Устава муниципального образования городской округ город Шарья Костромской области,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pacing w:line="266" w:lineRule="exact"/>
        <w:ind/>
        <w:jc w:val="center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pacing w:line="266" w:lineRule="exact"/>
        <w:ind/>
        <w:jc w:val="center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/>
          <w:sz w:val="24"/>
          <w:szCs w:val="24"/>
          <w:highlight w:val="white"/>
        </w:rPr>
        <w:t xml:space="preserve">Дума городского округа город Шарья </w:t>
      </w:r>
      <w:r>
        <w:rPr>
          <w:rFonts w:ascii="Arial" w:hAnsi="Arial" w:eastAsia="Arial" w:cs="Arial"/>
          <w:b/>
          <w:sz w:val="24"/>
          <w:szCs w:val="24"/>
          <w:highlight w:val="white"/>
        </w:rPr>
        <w:t xml:space="preserve">РЕШИЛА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: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pacing w:line="266" w:lineRule="exact"/>
        <w:ind/>
        <w:jc w:val="center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/>
          <w:sz w:val="24"/>
          <w:szCs w:val="24"/>
          <w:highlight w:val="white"/>
          <w:lang w:eastAsia="en-US"/>
        </w:rPr>
        <w:t xml:space="preserve">1. </w:t>
      </w:r>
      <w:r>
        <w:rPr>
          <w:rFonts w:ascii="Arial" w:hAnsi="Arial" w:eastAsia="Arial" w:cs="Arial"/>
          <w:sz w:val="24"/>
          <w:szCs w:val="24"/>
          <w:highlight w:val="white"/>
          <w:lang w:eastAsia="en-US"/>
        </w:rPr>
        <w:t xml:space="preserve">Внести в решение Думы городского округа город Шарья от 28.10.2021            № 47-ДН «Об утверждении Полож</w:t>
      </w:r>
      <w:r>
        <w:rPr>
          <w:rFonts w:ascii="Arial" w:hAnsi="Arial" w:eastAsia="Arial" w:cs="Arial"/>
          <w:sz w:val="24"/>
          <w:szCs w:val="24"/>
          <w:highlight w:val="white"/>
          <w:lang w:eastAsia="en-US"/>
        </w:rPr>
        <w:t xml:space="preserve">ения о муниципальном жилищном контроле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 на территории городского округа город Шарья Костромской области» (с изменениями, внесенными решением Думы городского округа город Шарья Костромской области от 28.11.2024 № 62-ДН) следующие изменения в Положение о муни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ципальном жилищном контроле </w:t>
      </w:r>
      <w:r>
        <w:rPr>
          <w:rFonts w:ascii="Arial" w:hAnsi="Arial" w:eastAsia="Arial" w:cs="Arial"/>
          <w:sz w:val="24"/>
          <w:szCs w:val="24"/>
          <w:highlight w:val="white"/>
          <w:lang w:eastAsia="en-US"/>
        </w:rPr>
        <w:t xml:space="preserve">на территории городского округа город Шарья Костромской области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: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/>
          <w:sz w:val="24"/>
          <w:szCs w:val="24"/>
          <w:highlight w:val="white"/>
        </w:rPr>
        <w:t xml:space="preserve">1) в статье 1: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/>
          <w:sz w:val="24"/>
          <w:szCs w:val="24"/>
          <w:highlight w:val="white"/>
        </w:rPr>
        <w:t xml:space="preserve">а) часть 6 изложить в следующей редакции: 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/>
          <w:sz w:val="24"/>
          <w:szCs w:val="24"/>
          <w:highlight w:val="white"/>
        </w:rPr>
        <w:t xml:space="preserve">«6. Муниципальный контроль 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осуществляется администрацией городского округа город Шарья Костромской области в лице комитета по управлению муниципальным имуществом администрации городского округа город Шарья Костромской области (далее – уполномоченный орган). 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/>
          <w:sz w:val="24"/>
          <w:szCs w:val="24"/>
          <w:highlight w:val="white"/>
        </w:rPr>
        <w:t xml:space="preserve">Должностными лицами, упо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лномоченными принимать решения о проведении контрольных мероприятий, являются глава городского округа город Шарья Костромской области и заместители главы городского округа город Шарья Костромской области. 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/>
          <w:sz w:val="24"/>
          <w:szCs w:val="24"/>
          <w:highlight w:val="white"/>
        </w:rPr>
        <w:t xml:space="preserve">Должностными лицами, уполномоченными на осуществление муниципального контроля (далее – инспекторы), являются: 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/>
          <w:sz w:val="24"/>
          <w:szCs w:val="24"/>
          <w:highlight w:val="white"/>
        </w:rPr>
        <w:t xml:space="preserve">1) председатель комитета по управлению муниципальным имуществом администрации городского округа город Шарья Костромской области;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/>
          <w:sz w:val="24"/>
          <w:szCs w:val="24"/>
          <w:highlight w:val="white"/>
        </w:rPr>
        <w:t xml:space="preserve">2) заместитель п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редседателя комитета по управлению муниципальным имуществом администрации городского округа город Шарья Костромской области;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highlight w:val="white"/>
        </w:rPr>
        <w:t xml:space="preserve">3) начальник </w:t>
      </w:r>
      <w:r>
        <w:rPr>
          <w:rFonts w:ascii="Arial" w:hAnsi="Arial" w:eastAsia="Arial" w:cs="Arial"/>
          <w:sz w:val="24"/>
          <w:szCs w:val="24"/>
        </w:rPr>
        <w:t xml:space="preserve">отдела</w:t>
      </w:r>
      <w:r>
        <w:rPr>
          <w:rFonts w:ascii="Arial" w:hAnsi="Arial" w:eastAsia="Arial" w:cs="Arial"/>
          <w:sz w:val="24"/>
          <w:szCs w:val="24"/>
        </w:rPr>
        <w:t xml:space="preserve"> по учету</w:t>
      </w:r>
      <w:r>
        <w:rPr>
          <w:rFonts w:ascii="Arial" w:hAnsi="Arial" w:eastAsia="Arial" w:cs="Arial"/>
          <w:sz w:val="24"/>
          <w:szCs w:val="24"/>
        </w:rPr>
        <w:t xml:space="preserve">, распределению и обмену жилой площади комитета по управлению муниципальным имуществом администрации го</w:t>
      </w:r>
      <w:r>
        <w:rPr>
          <w:rFonts w:ascii="Arial" w:hAnsi="Arial" w:eastAsia="Arial" w:cs="Arial"/>
          <w:sz w:val="24"/>
          <w:szCs w:val="24"/>
        </w:rPr>
        <w:t xml:space="preserve">родского округа город Шарья Костромской области.</w:t>
      </w:r>
      <w:r>
        <w:rPr>
          <w:rFonts w:ascii="Arial" w:hAnsi="Arial" w:eastAsia="Arial" w:cs="Arial"/>
          <w:sz w:val="24"/>
          <w:szCs w:val="24"/>
        </w:rPr>
        <w:t xml:space="preserve">»;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 xml:space="preserve">б) части 7 и 8 признать утратившими силу;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/>
          <w:sz w:val="24"/>
          <w:szCs w:val="24"/>
          <w:highlight w:val="white"/>
        </w:rPr>
        <w:t xml:space="preserve">2)</w:t>
      </w:r>
      <w:r>
        <w:rPr>
          <w:rFonts w:ascii="Arial" w:hAnsi="Arial" w:eastAsia="Arial" w:cs="Arial" w:eastAsiaTheme="minorHAnsi"/>
          <w:sz w:val="24"/>
          <w:szCs w:val="24"/>
          <w:highlight w:val="white"/>
          <w:lang w:eastAsia="en-US"/>
        </w:rPr>
        <w:t xml:space="preserve"> статью 3 изложить в следующей редакции: 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Style w:val="971"/>
        <w:pBdr/>
        <w:spacing w:line="240" w:lineRule="auto"/>
        <w:ind w:right="0" w:firstLine="709" w:left="0"/>
        <w:jc w:val="both"/>
        <w:outlineLvl w:val="1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 w:eastAsiaTheme="minorHAnsi"/>
          <w:sz w:val="24"/>
          <w:szCs w:val="24"/>
          <w:highlight w:val="white"/>
          <w:lang w:eastAsia="en-US"/>
        </w:rPr>
        <w:t xml:space="preserve">«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Статья 3. Профилактика рисков причинения вреда (ущерба) охраняемым законом ценностям при осуществлении муниципальног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о контроля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Style w:val="962"/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/>
          <w:sz w:val="24"/>
          <w:szCs w:val="24"/>
          <w:highlight w:val="white"/>
        </w:rPr>
        <w:t xml:space="preserve">1. Профилактические мероприятия проводятся уполномоченным органом муниципального контроля в целях стимулирования добросовестного соблюдения обязательных требований контролируемыми лицами и направлены на снижение риска причинения вреда (ущерба), 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а также являются приоритетными по отношению к проведению контрольных мероприятий.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Style w:val="962"/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/>
          <w:sz w:val="24"/>
          <w:szCs w:val="24"/>
          <w:highlight w:val="white"/>
        </w:rPr>
        <w:t xml:space="preserve">2. Профилактические мероприятия осуществляются на основании ежегодной Программы профилактики рисков причинения вреда (ущерба) охраняемым законом ценностям, утверждаемой уполн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омоченным органом муниципального контроля, в соответствии с законодательством Российской Федерации.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Style w:val="962"/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/>
          <w:sz w:val="24"/>
          <w:szCs w:val="24"/>
          <w:highlight w:val="white"/>
        </w:rPr>
        <w:t xml:space="preserve">3. При осуществлении муниципального контроля могут проводиться следующие виды профилактических мероприятий: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Style w:val="962"/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/>
          <w:sz w:val="24"/>
          <w:szCs w:val="24"/>
          <w:highlight w:val="white"/>
        </w:rPr>
        <w:t xml:space="preserve">1) информирование;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Style w:val="962"/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/>
          <w:sz w:val="24"/>
          <w:szCs w:val="24"/>
          <w:highlight w:val="white"/>
        </w:rPr>
        <w:t xml:space="preserve">2) консультирование;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Style w:val="962"/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/>
          <w:sz w:val="24"/>
          <w:szCs w:val="24"/>
          <w:highlight w:val="white"/>
        </w:rPr>
        <w:t xml:space="preserve">3) объяв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ление предостережения;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Style w:val="962"/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/>
          <w:sz w:val="24"/>
          <w:szCs w:val="24"/>
          <w:highlight w:val="white"/>
        </w:rPr>
        <w:t xml:space="preserve">4) профилактический визит.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Style w:val="962"/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/>
          <w:sz w:val="24"/>
          <w:szCs w:val="24"/>
          <w:highlight w:val="white"/>
        </w:rPr>
        <w:t xml:space="preserve">4. </w:t>
      </w:r>
      <w:r>
        <w:rPr>
          <w:rFonts w:ascii="Arial" w:hAnsi="Arial" w:eastAsia="Arial" w:cs="Arial"/>
          <w:color w:val="000000"/>
          <w:sz w:val="24"/>
          <w:szCs w:val="24"/>
          <w:highlight w:val="white"/>
        </w:rPr>
        <w:t xml:space="preserve">Информирование осуществляется 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уполномоченным органом муниципального контроля</w:t>
      </w:r>
      <w:r>
        <w:rPr>
          <w:rFonts w:ascii="Arial" w:hAnsi="Arial" w:eastAsia="Arial" w:cs="Arial"/>
          <w:color w:val="000000"/>
          <w:sz w:val="24"/>
          <w:szCs w:val="24"/>
          <w:highlight w:val="white"/>
        </w:rPr>
        <w:t xml:space="preserve"> посредством размещения сведений по вопросам соблюдения обязательных требований в сфере жилищных отношений на официальном сайте городского округа город Шарья Костромской области в информационно-телекоммуникационной сети Интернет (далее - официальный сайт),</w:t>
      </w:r>
      <w:r>
        <w:rPr>
          <w:rFonts w:ascii="Arial" w:hAnsi="Arial" w:eastAsia="Arial" w:cs="Arial"/>
          <w:color w:val="000000"/>
          <w:sz w:val="24"/>
          <w:szCs w:val="24"/>
          <w:highlight w:val="white"/>
        </w:rPr>
        <w:t xml:space="preserve"> в средствах массовой информации и в иных формах в соответствии</w:t>
      </w:r>
      <w:r>
        <w:rPr>
          <w:rFonts w:ascii="Arial" w:hAnsi="Arial" w:eastAsia="Arial" w:cs="Arial"/>
          <w:color w:val="000000" w:themeColor="text1"/>
          <w:sz w:val="24"/>
          <w:szCs w:val="24"/>
          <w:highlight w:val="white"/>
        </w:rPr>
        <w:t xml:space="preserve"> с </w:t>
      </w:r>
      <w:hyperlink r:id="rId14" w:tooltip="https://login.consultant.ru/link/?req=doc&amp;base=LAW&amp;n=496567&amp;dst=100512" w:history="1">
        <w:r>
          <w:rPr>
            <w:rStyle w:val="953"/>
            <w:rFonts w:ascii="Arial" w:hAnsi="Arial" w:eastAsia="Arial" w:cs="Arial"/>
            <w:color w:val="000000" w:themeColor="text1"/>
            <w:sz w:val="24"/>
            <w:szCs w:val="24"/>
            <w:highlight w:val="white"/>
            <w:u w:val="none"/>
          </w:rPr>
          <w:t xml:space="preserve">частью 3 статьи 46</w:t>
        </w:r>
      </w:hyperlink>
      <w:r>
        <w:rPr>
          <w:rFonts w:ascii="Arial" w:hAnsi="Arial" w:eastAsia="Arial" w:cs="Arial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Arial" w:hAnsi="Arial" w:eastAsia="Arial" w:cs="Arial"/>
          <w:color w:val="000000"/>
          <w:sz w:val="24"/>
          <w:szCs w:val="24"/>
          <w:highlight w:val="white"/>
        </w:rPr>
        <w:t xml:space="preserve">Федераль</w:t>
      </w:r>
      <w:r>
        <w:rPr>
          <w:rFonts w:ascii="Arial" w:hAnsi="Arial" w:eastAsia="Arial" w:cs="Arial"/>
          <w:color w:val="000000"/>
          <w:sz w:val="24"/>
          <w:szCs w:val="24"/>
          <w:highlight w:val="white"/>
        </w:rPr>
        <w:t xml:space="preserve">ного закона «О государственном контроле (надзоре) и муниципальном контроле в Российской</w:t>
      </w:r>
      <w:r>
        <w:rPr>
          <w:rFonts w:ascii="Arial" w:hAnsi="Arial" w:eastAsia="Arial" w:cs="Arial"/>
          <w:color w:val="000000"/>
          <w:sz w:val="24"/>
          <w:szCs w:val="24"/>
          <w:highlight w:val="white"/>
        </w:rPr>
        <w:t xml:space="preserve"> Федерации».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Style w:val="962"/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/>
          <w:sz w:val="24"/>
          <w:szCs w:val="24"/>
          <w:highlight w:val="white"/>
        </w:rPr>
        <w:t xml:space="preserve">5. Размещенные на официальном сайте сведения в соответствии с настоящим Положением поддерживаются в актуальном состоянии.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Style w:val="962"/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/>
          <w:sz w:val="24"/>
          <w:szCs w:val="24"/>
          <w:highlight w:val="white"/>
        </w:rPr>
        <w:t xml:space="preserve">6. Инспекторы уполномоченного орга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на, ответственные за размещение информации, предусмотренной настоящим Положением, определяются уполномоченным органом муниципального контроля.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Style w:val="962"/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/>
          <w:sz w:val="24"/>
          <w:szCs w:val="24"/>
          <w:highlight w:val="white"/>
        </w:rPr>
        <w:t xml:space="preserve">7. Консультирование контролируемых лиц и их представителей осуществляется инспектором уполномоченного органа при 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обращении контролируемых лиц и их представителей по вопросам, связанным с организацией и осуществлением муниципального контроля.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Style w:val="962"/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/>
          <w:sz w:val="24"/>
          <w:szCs w:val="24"/>
          <w:highlight w:val="white"/>
        </w:rPr>
        <w:t xml:space="preserve">8. Консультирование осуществляется без взимания платы и может осуществляться по телефону, посредством видео-конференц-связи, на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 личном приеме либо в ходе проведения профилактических мероприятий, контрольных мероприятий. Время консультирования не должно превышать 15 минут.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Style w:val="962"/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/>
          <w:sz w:val="24"/>
          <w:szCs w:val="24"/>
          <w:highlight w:val="white"/>
        </w:rPr>
        <w:t xml:space="preserve">9. Информация о месте, инспекторах уполномоченного органа, проводящих личный прием, а также об установленных д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ля приема днях и часах размещается на официальном сайте.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Style w:val="962"/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/>
          <w:sz w:val="24"/>
          <w:szCs w:val="24"/>
          <w:highlight w:val="white"/>
        </w:rPr>
        <w:t xml:space="preserve">10. Консультирование, в том числе в письменной форме, осуществляется по следующим вопросам: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Style w:val="962"/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/>
          <w:sz w:val="24"/>
          <w:szCs w:val="24"/>
          <w:highlight w:val="white"/>
        </w:rPr>
        <w:t xml:space="preserve">1) организация и осуществление муниципального контроля;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Style w:val="962"/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/>
          <w:sz w:val="24"/>
          <w:szCs w:val="24"/>
          <w:highlight w:val="white"/>
        </w:rPr>
        <w:t xml:space="preserve">2) порядок осуществления профилактических, контроль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ных мероприятий, установленных настоящим Положением.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Style w:val="962"/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/>
          <w:sz w:val="24"/>
          <w:szCs w:val="24"/>
          <w:highlight w:val="white"/>
        </w:rPr>
        <w:t xml:space="preserve">11. Консультирование в письменной форме осуществляется в следующих случаях: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Style w:val="962"/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/>
          <w:sz w:val="24"/>
          <w:szCs w:val="24"/>
          <w:highlight w:val="white"/>
        </w:rPr>
        <w:t xml:space="preserve">1) контролируемым лицом представлен письменный запрос о предоставлении письменного ответа по вопросам консультирования;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Style w:val="962"/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/>
          <w:sz w:val="24"/>
          <w:szCs w:val="24"/>
          <w:highlight w:val="white"/>
        </w:rPr>
        <w:t xml:space="preserve">2) за время, предусмотренное настоящим Положением для консультации, предоставить ответ на поставленные вопросы не представляется возможным;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Style w:val="962"/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/>
          <w:sz w:val="24"/>
          <w:szCs w:val="24"/>
          <w:highlight w:val="white"/>
        </w:rPr>
        <w:t xml:space="preserve">3) для подготовки ответа на поставленные вопросы необходимы дополнительные сведения, запрашиваемые в органах государ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ственной власти или у иных лиц.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Style w:val="962"/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/>
          <w:sz w:val="24"/>
          <w:szCs w:val="24"/>
          <w:highlight w:val="white"/>
        </w:rPr>
        <w:t xml:space="preserve">12. Если поставленные во время консультирования вопросы не относятся к сфере муниципального контроля, даются необходимые разъяснения по обращению в соответствующие органы государственной власти, органы местного самоуправлени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я или к соответствующим должностным лицам.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Style w:val="962"/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/>
          <w:sz w:val="24"/>
          <w:szCs w:val="24"/>
          <w:highlight w:val="white"/>
        </w:rPr>
        <w:t xml:space="preserve">13. Уполномоченный орган осуществляет учет консультирований посредством внесения соответствующей записи в журнал консультирования, форма которого утверждается правовым актом администрации городского округа город Ш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арья Костромской области.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Style w:val="962"/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/>
          <w:sz w:val="24"/>
          <w:szCs w:val="24"/>
          <w:highlight w:val="white"/>
        </w:rPr>
        <w:t xml:space="preserve">14. При проведении консультирования во время контрольных мероприятий запись о проведенной консультации отражается в акте контрольного мероприятия.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Style w:val="962"/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/>
          <w:sz w:val="24"/>
          <w:szCs w:val="24"/>
          <w:highlight w:val="white"/>
        </w:rPr>
        <w:t xml:space="preserve">15. В случае поступления в уполномоченный орган однотипных (по одним и тем же вопро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сам) обращений контролируемых лиц и (или) их представителей (5 и более в течение календарного года), консультирование по таким обращениям может осуществляться посредством размещения на официальном сайте письменного разъяснения, подписанного уполномоченным 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должностным лицом уполномоченного органа.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Style w:val="962"/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/>
          <w:sz w:val="24"/>
          <w:szCs w:val="24"/>
          <w:highlight w:val="white"/>
        </w:rPr>
        <w:t xml:space="preserve">16. 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В случае наличия у уполномоченного органа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ценностям, органа муниципального контроля объявляет контролируемому лицу предостережение о недопустимости 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нарушения обязательных требований по форме, утвержденной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 федеральным органом исполнительной власти, осуществляющим функции по выработке государственной политики и нормативно-правовому регулированию в области государственного контроля (надзора) и муниципаль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ного контроля, и предлагает принять меры по обеспечению соблюдения обязательных требований.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Style w:val="962"/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/>
          <w:sz w:val="24"/>
          <w:szCs w:val="24"/>
          <w:highlight w:val="white"/>
        </w:rPr>
        <w:t xml:space="preserve">17. 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Предостережение должно содержать указание на соответствующие обязательные требования, предусматривающие нормативный правовой акт, информацию о том, какие конкре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тно действия (бездействие) контролируемого лица могут привести или приводят к нарушению обязательных требований, а также предложение о принятии мер по обеспечению соблюдения данных требований и не может содержать требование представления контролируемым лиц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ом сведений и документов.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Style w:val="962"/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/>
          <w:sz w:val="24"/>
          <w:szCs w:val="24"/>
          <w:highlight w:val="white"/>
        </w:rPr>
        <w:t xml:space="preserve">18. Уполномоченный орган осуществляет учет предостережений. Учет предостережений осуществляется путем ведения журнала учета объявленных предостережений, оформляемого в соответствии с типовой формой, утверждаемой уполномоченным орг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аном.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Style w:val="962"/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/>
          <w:sz w:val="24"/>
          <w:szCs w:val="24"/>
          <w:highlight w:val="white"/>
        </w:rPr>
        <w:t xml:space="preserve">19. Контролируемое лицо вправе после получения предостережения подать возражение в отношении указанного предостережения.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Style w:val="962"/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/>
          <w:sz w:val="24"/>
          <w:szCs w:val="24"/>
          <w:highlight w:val="white"/>
        </w:rPr>
        <w:t xml:space="preserve">20. Возражение направляется инспектору уполномоченного органа, объявившему предостережение, не позднее пятнадцати календарных дне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й с момента получения предостережения через личные кабинеты контролируемых лиц в государственных информационных системах (при их наличии), почтовым отправлением (в случае направления на бумажном носителе), или лично (если контролируемым лицом является граж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данин), или через законного представителя.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Style w:val="962"/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/>
          <w:sz w:val="24"/>
          <w:szCs w:val="24"/>
          <w:highlight w:val="white"/>
        </w:rPr>
        <w:t xml:space="preserve">В качестве представителей контролируемого лица могут выступать законные представители граждан, законные представители организаций, уполномоченные представители. Полномочия представителя контролируемого лица должны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 быть подтверждены соответствующей доверенностью, распорядительным документом организации или иным документом, оформленным в соответствии с законодательством Российской Федерации.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Style w:val="962"/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/>
          <w:sz w:val="24"/>
          <w:szCs w:val="24"/>
          <w:highlight w:val="white"/>
        </w:rPr>
        <w:t xml:space="preserve">21. Возражения составляются контролируемым лицом в произвольной форме и долж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ны содержать в себе следующую информацию: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Style w:val="962"/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/>
          <w:sz w:val="24"/>
          <w:szCs w:val="24"/>
          <w:highlight w:val="white"/>
        </w:rPr>
        <w:t xml:space="preserve">1) наименование контролируемого лица: для юридических лиц - наименование организации; для индивидуальных предпринимателей и физических лиц - фамилия, имя, отчество (последнее - при наличии); 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Style w:val="962"/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/>
          <w:sz w:val="24"/>
          <w:szCs w:val="24"/>
          <w:highlight w:val="white"/>
        </w:rPr>
        <w:t xml:space="preserve">2) идентификационный номер налогоплательщика;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Style w:val="962"/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/>
          <w:sz w:val="24"/>
          <w:szCs w:val="24"/>
          <w:highlight w:val="white"/>
        </w:rPr>
        <w:t xml:space="preserve">3) дата и номер предостережения, направленного в адрес контролируемого лица;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Style w:val="962"/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/>
          <w:sz w:val="24"/>
          <w:szCs w:val="24"/>
          <w:highlight w:val="white"/>
        </w:rPr>
        <w:t xml:space="preserve">4) обоснование позиции, доводы в отношении указанных в предостережении действий (бездействия) контролируемого лица, которые приводят 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или могут привести к нарушению обязательных требований;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Style w:val="962"/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/>
          <w:sz w:val="24"/>
          <w:szCs w:val="24"/>
          <w:highlight w:val="white"/>
        </w:rPr>
        <w:t xml:space="preserve">5) желаемый способ получения ответа по итогам рассмотрения возражения;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Style w:val="962"/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/>
          <w:sz w:val="24"/>
          <w:szCs w:val="24"/>
          <w:highlight w:val="white"/>
        </w:rPr>
        <w:t xml:space="preserve">6) фамилию, имя, отчество (последнее - при наличии) направившего возражение, подпись (в случае направления возражения на бумажном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 носителе);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Style w:val="962"/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/>
          <w:sz w:val="24"/>
          <w:szCs w:val="24"/>
          <w:highlight w:val="white"/>
        </w:rPr>
        <w:t xml:space="preserve">7) дату направления возражения.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Style w:val="962"/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/>
          <w:sz w:val="24"/>
          <w:szCs w:val="24"/>
          <w:highlight w:val="white"/>
        </w:rPr>
        <w:t xml:space="preserve">22. Инспектор уполномоченного органа, объявивший предостережение, рассматривает поступившее возражение и в течение 10 календарных дней со дня получения возражения направляет контролируемому лицу ответ по итогам е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го рассмотрения способом, указанным в возражении.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Style w:val="962"/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highlight w:val="white"/>
        </w:rPr>
        <w:t xml:space="preserve">23. В случае принятия представленных контролируемым лицом в возражениях доводов руководитель уполномоченного органа аннулирует направленное </w:t>
      </w:r>
      <w:r>
        <w:rPr>
          <w:rFonts w:ascii="Arial" w:hAnsi="Arial" w:eastAsia="Arial" w:cs="Arial"/>
          <w:sz w:val="24"/>
          <w:szCs w:val="24"/>
        </w:rPr>
        <w:t xml:space="preserve">предостережение с соответствующей отметкой в журнале учета объявле</w:t>
      </w:r>
      <w:r>
        <w:rPr>
          <w:rFonts w:ascii="Arial" w:hAnsi="Arial" w:eastAsia="Arial" w:cs="Arial"/>
          <w:sz w:val="24"/>
          <w:szCs w:val="24"/>
        </w:rPr>
        <w:t xml:space="preserve">нных предостережений.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Style w:val="962"/>
        <w:pBdr/>
        <w:spacing w:line="240" w:lineRule="auto"/>
        <w:ind w:right="0" w:firstLine="709" w:left="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 xml:space="preserve">24. </w:t>
      </w:r>
      <w:r>
        <w:rPr>
          <w:rFonts w:ascii="Arial" w:hAnsi="Arial" w:eastAsia="Arial" w:cs="Arial"/>
          <w:sz w:val="24"/>
          <w:szCs w:val="24"/>
        </w:rPr>
        <w:t xml:space="preserve">Проведение профилактического визита осуществляется в порядке, предусмотренном Федеральным </w:t>
      </w:r>
      <w:hyperlink r:id="rId15" w:tooltip="https://login.consultant.ru/link/?req=doc&amp;base=LAW&amp;n=496567" w:history="1">
        <w:r>
          <w:rPr>
            <w:rFonts w:ascii="Arial" w:hAnsi="Arial" w:eastAsia="Arial" w:cs="Arial"/>
            <w:color w:val="000000" w:themeColor="text1"/>
            <w:sz w:val="24"/>
            <w:szCs w:val="24"/>
          </w:rPr>
          <w:t xml:space="preserve">законом</w:t>
        </w:r>
      </w:hyperlink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«О государственном контроле (надзоре) и муниципальном контроле в Российской Федерации»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.</w:t>
      </w:r>
      <w:r>
        <w:rPr>
          <w:rFonts w:ascii="Arial" w:hAnsi="Arial" w:cs="Arial"/>
          <w:color w:val="000000" w:themeColor="text1"/>
          <w:sz w:val="24"/>
          <w:szCs w:val="24"/>
        </w:rPr>
      </w:r>
      <w:r>
        <w:rPr>
          <w:rFonts w:ascii="Arial" w:hAnsi="Arial" w:cs="Arial"/>
          <w:color w:val="000000" w:themeColor="text1"/>
          <w:sz w:val="24"/>
          <w:szCs w:val="24"/>
        </w:rPr>
      </w:r>
    </w:p>
    <w:p>
      <w:pPr>
        <w:pStyle w:val="798"/>
        <w:pBdr/>
        <w:spacing w:line="240" w:lineRule="auto"/>
        <w:ind w:right="0" w:firstLine="709" w:left="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25. Профилактический визит проводится в форме профилактической беседы инспектором 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уполномоченного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 органа, по месту осуществления деятельности контролируемого л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ица либо путем использования видео-конференц-связи или мобильного приложения «Инспектор».</w:t>
      </w:r>
      <w:r>
        <w:rPr>
          <w:rFonts w:ascii="Arial" w:hAnsi="Arial" w:cs="Arial"/>
          <w:color w:val="000000" w:themeColor="text1"/>
          <w:sz w:val="24"/>
          <w:szCs w:val="24"/>
        </w:rPr>
      </w:r>
      <w:r>
        <w:rPr>
          <w:rFonts w:ascii="Arial" w:hAnsi="Arial" w:cs="Arial"/>
          <w:color w:val="000000" w:themeColor="text1"/>
          <w:sz w:val="24"/>
          <w:szCs w:val="24"/>
        </w:rPr>
      </w:r>
    </w:p>
    <w:p>
      <w:pPr>
        <w:pStyle w:val="798"/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26. Профилактический визит по инициативе контролируемого лица проводится инспектором 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уполномоченного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 органа в соответствии со </w:t>
      </w:r>
      <w:hyperlink r:id="rId16" w:tooltip="https://login.consultant.ru/link/?req=doc&amp;base=LAW&amp;n=496567&amp;dst=101391" w:history="1">
        <w:r>
          <w:rPr>
            <w:rFonts w:ascii="Arial" w:hAnsi="Arial" w:eastAsia="Arial" w:cs="Arial"/>
            <w:color w:val="000000" w:themeColor="text1"/>
            <w:sz w:val="24"/>
            <w:szCs w:val="24"/>
          </w:rPr>
          <w:t xml:space="preserve">статьей 52.2</w:t>
        </w:r>
      </w:hyperlink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 Федерального закона 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«</w:t>
      </w:r>
      <w:r>
        <w:rPr>
          <w:rFonts w:ascii="Arial" w:hAnsi="Arial" w:eastAsia="Arial" w:cs="Arial"/>
          <w:color w:val="000000" w:themeColor="text1"/>
          <w:sz w:val="24"/>
          <w:szCs w:val="24"/>
        </w:rPr>
        <w:t xml:space="preserve">О государственном контроле (надзоре) и муниципальном контроле в Россий</w:t>
      </w:r>
      <w:r>
        <w:rPr>
          <w:rFonts w:ascii="Arial" w:hAnsi="Arial" w:eastAsia="Arial" w:cs="Arial"/>
          <w:sz w:val="24"/>
          <w:szCs w:val="24"/>
        </w:rPr>
        <w:t xml:space="preserve">ской Федерации»</w:t>
      </w:r>
      <w:r>
        <w:rPr>
          <w:rFonts w:ascii="Arial" w:hAnsi="Arial" w:eastAsia="Arial" w:cs="Arial"/>
          <w:sz w:val="24"/>
          <w:szCs w:val="24"/>
        </w:rPr>
        <w:t xml:space="preserve">»</w:t>
      </w:r>
      <w:r>
        <w:rPr>
          <w:rFonts w:ascii="Arial" w:hAnsi="Arial" w:eastAsia="Arial" w:cs="Arial"/>
          <w:sz w:val="24"/>
          <w:szCs w:val="24"/>
        </w:rPr>
        <w:t xml:space="preserve">.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 xml:space="preserve">3) </w:t>
      </w:r>
      <w:r>
        <w:rPr>
          <w:rFonts w:ascii="Arial" w:hAnsi="Arial" w:eastAsia="Arial" w:cs="Arial"/>
          <w:sz w:val="24"/>
          <w:szCs w:val="24"/>
        </w:rPr>
        <w:t xml:space="preserve">дополнить статьей 3.1 следующего содержания: 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 w:line="240" w:lineRule="auto"/>
        <w:ind w:right="0" w:firstLine="709" w:left="0"/>
        <w:jc w:val="both"/>
        <w:rPr>
          <w:rFonts w:ascii="Arial" w:hAnsi="Arial" w:cs="Arial"/>
          <w:b/>
          <w:sz w:val="24"/>
          <w:szCs w:val="24"/>
          <w:highlight w:val="white"/>
        </w:rPr>
      </w:pPr>
      <w:r>
        <w:rPr>
          <w:rFonts w:ascii="Arial" w:hAnsi="Arial" w:eastAsia="Arial" w:cs="Arial"/>
          <w:sz w:val="24"/>
          <w:szCs w:val="24"/>
          <w:highlight w:val="white"/>
        </w:rPr>
        <w:t xml:space="preserve">«</w:t>
      </w:r>
      <w:r>
        <w:rPr>
          <w:rFonts w:ascii="Arial" w:hAnsi="Arial" w:eastAsia="Arial" w:cs="Arial"/>
          <w:b/>
          <w:sz w:val="24"/>
          <w:szCs w:val="24"/>
          <w:highlight w:val="white"/>
        </w:rPr>
        <w:t xml:space="preserve">Статья 3.1. Управление рисками причинения вреда (ущерба) охраняемым законом ценностям при осуществлении жилищного контроля</w:t>
      </w:r>
      <w:r>
        <w:rPr>
          <w:rFonts w:ascii="Arial" w:hAnsi="Arial" w:cs="Arial"/>
          <w:b/>
          <w:sz w:val="24"/>
          <w:szCs w:val="24"/>
          <w:highlight w:val="white"/>
        </w:rPr>
      </w:r>
      <w:r>
        <w:rPr>
          <w:rFonts w:ascii="Arial" w:hAnsi="Arial" w:cs="Arial"/>
          <w:b/>
          <w:sz w:val="24"/>
          <w:szCs w:val="24"/>
          <w:highlight w:val="white"/>
        </w:rPr>
      </w:r>
    </w:p>
    <w:p>
      <w:pPr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/>
          <w:sz w:val="24"/>
          <w:szCs w:val="24"/>
          <w:highlight w:val="white"/>
        </w:rPr>
        <w:t xml:space="preserve">1. </w:t>
      </w:r>
      <w:r>
        <w:rPr>
          <w:rFonts w:ascii="Arial" w:hAnsi="Arial" w:eastAsia="Arial" w:cs="Arial" w:eastAsiaTheme="minorHAnsi"/>
          <w:sz w:val="24"/>
          <w:szCs w:val="24"/>
          <w:highlight w:val="white"/>
          <w:lang w:eastAsia="en-US"/>
        </w:rPr>
        <w:t xml:space="preserve">Муниципальный контроль осуществляется на основе управления рисками причинения вреда</w:t>
      </w:r>
      <w:r>
        <w:rPr>
          <w:rFonts w:ascii="Arial" w:hAnsi="Arial" w:eastAsia="Arial" w:cs="Arial" w:eastAsiaTheme="minorHAnsi"/>
          <w:sz w:val="24"/>
          <w:szCs w:val="24"/>
          <w:highlight w:val="white"/>
          <w:lang w:eastAsia="en-US"/>
        </w:rPr>
        <w:t xml:space="preserve"> (ущерба), определяющего выбор профилактических мероприятий и контрольных мероприятий, их содержание (в том числе объем проверяемых обязательных требований), интенсивность и результаты, при этом контрольным </w:t>
      </w:r>
      <w:r>
        <w:rPr>
          <w:rFonts w:ascii="Arial" w:hAnsi="Arial" w:eastAsia="Arial" w:cs="Arial" w:eastAsiaTheme="minorHAnsi"/>
          <w:sz w:val="24"/>
          <w:szCs w:val="24"/>
          <w:highlight w:val="white"/>
          <w:lang w:eastAsia="en-US"/>
        </w:rPr>
        <w:t xml:space="preserve">органом на постоянной основе проводится мониторин</w:t>
      </w:r>
      <w:r>
        <w:rPr>
          <w:rFonts w:ascii="Arial" w:hAnsi="Arial" w:eastAsia="Arial" w:cs="Arial" w:eastAsiaTheme="minorHAnsi"/>
          <w:sz w:val="24"/>
          <w:szCs w:val="24"/>
          <w:highlight w:val="white"/>
          <w:lang w:eastAsia="en-US"/>
        </w:rPr>
        <w:t xml:space="preserve">г (сбор, обработка, анализ и учет) сведений, используемых для оценки и управления рисками причинения вреда (ущерба).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 w:eastAsiaTheme="minorHAnsi"/>
          <w:sz w:val="24"/>
          <w:szCs w:val="24"/>
          <w:highlight w:val="white"/>
          <w:lang w:eastAsia="en-US"/>
        </w:rPr>
        <w:t xml:space="preserve">Перечень индикаторов риска муниципального контроля утверждается решением Думы городского округа Шарья Костромской области.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/>
          <w:sz w:val="24"/>
          <w:szCs w:val="24"/>
          <w:highlight w:val="white"/>
        </w:rPr>
        <w:t xml:space="preserve">2. </w:t>
      </w:r>
      <w:r>
        <w:rPr>
          <w:rFonts w:ascii="Arial" w:hAnsi="Arial" w:eastAsia="Arial" w:cs="Arial" w:eastAsiaTheme="minorHAnsi"/>
          <w:sz w:val="24"/>
          <w:szCs w:val="24"/>
          <w:highlight w:val="white"/>
          <w:lang w:eastAsia="en-US"/>
        </w:rPr>
        <w:t xml:space="preserve">Для целей упр</w:t>
      </w:r>
      <w:r>
        <w:rPr>
          <w:rFonts w:ascii="Arial" w:hAnsi="Arial" w:eastAsia="Arial" w:cs="Arial" w:eastAsiaTheme="minorHAnsi"/>
          <w:sz w:val="24"/>
          <w:szCs w:val="24"/>
          <w:highlight w:val="white"/>
          <w:lang w:eastAsia="en-US"/>
        </w:rPr>
        <w:t xml:space="preserve">авления рисками причинения вреда (ущерба) охраняемым законом ценностям при осуществлении муниципального контроля объекты муниципального контроля подлежат отнесению к категориям высокого, среднего, умеренного, низкого риска в соответствии с Федеральным зако</w:t>
      </w:r>
      <w:r>
        <w:rPr>
          <w:rFonts w:ascii="Arial" w:hAnsi="Arial" w:eastAsia="Arial" w:cs="Arial" w:eastAsiaTheme="minorHAnsi"/>
          <w:sz w:val="24"/>
          <w:szCs w:val="24"/>
          <w:highlight w:val="white"/>
          <w:lang w:eastAsia="en-US"/>
        </w:rPr>
        <w:t xml:space="preserve">ном «О государственном контроле (надзоре) и муниципальном контроле в Российской Федерации».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 w:eastAsiaTheme="minorHAnsi"/>
          <w:sz w:val="24"/>
          <w:szCs w:val="24"/>
          <w:highlight w:val="white"/>
          <w:lang w:eastAsia="en-US"/>
        </w:rPr>
        <w:t xml:space="preserve">3. Контрольные мероприятия в отношении объектов контроля проводятся со следующей периодичностью: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 w:eastAsiaTheme="minorHAnsi"/>
          <w:sz w:val="24"/>
          <w:szCs w:val="24"/>
          <w:highlight w:val="white"/>
          <w:lang w:eastAsia="en-US"/>
        </w:rPr>
        <w:t xml:space="preserve">1) для категории высокого риска – один раз в два года;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 w:eastAsiaTheme="minorHAnsi"/>
          <w:sz w:val="24"/>
          <w:szCs w:val="24"/>
          <w:highlight w:val="white"/>
          <w:lang w:eastAsia="en-US"/>
        </w:rPr>
        <w:t xml:space="preserve">2) для катег</w:t>
      </w:r>
      <w:r>
        <w:rPr>
          <w:rFonts w:ascii="Arial" w:hAnsi="Arial" w:eastAsia="Arial" w:cs="Arial" w:eastAsiaTheme="minorHAnsi"/>
          <w:sz w:val="24"/>
          <w:szCs w:val="24"/>
          <w:highlight w:val="white"/>
          <w:lang w:eastAsia="en-US"/>
        </w:rPr>
        <w:t xml:space="preserve">ории среднего риска – один раз в три года;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 w:eastAsiaTheme="minorHAnsi"/>
          <w:sz w:val="24"/>
          <w:szCs w:val="24"/>
          <w:highlight w:val="white"/>
          <w:lang w:eastAsia="en-US"/>
        </w:rPr>
        <w:t xml:space="preserve">3) для категории умеренного риска – один раз в пять лет.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 w:eastAsiaTheme="minorHAnsi"/>
          <w:sz w:val="24"/>
          <w:szCs w:val="24"/>
          <w:highlight w:val="white"/>
          <w:lang w:eastAsia="en-US"/>
        </w:rPr>
        <w:t xml:space="preserve">Контрольные мероприятия в отношении объекта контроля, отнесенного к категории низкого риска, не проводятся.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 w:eastAsiaTheme="minorHAnsi"/>
          <w:sz w:val="24"/>
          <w:szCs w:val="24"/>
          <w:highlight w:val="white"/>
          <w:lang w:eastAsia="en-US"/>
        </w:rPr>
        <w:t xml:space="preserve">4. Уполномоченный орган может проводить следующи</w:t>
      </w:r>
      <w:r>
        <w:rPr>
          <w:rFonts w:ascii="Arial" w:hAnsi="Arial" w:eastAsia="Arial" w:cs="Arial" w:eastAsiaTheme="minorHAnsi"/>
          <w:sz w:val="24"/>
          <w:szCs w:val="24"/>
          <w:highlight w:val="white"/>
          <w:lang w:eastAsia="en-US"/>
        </w:rPr>
        <w:t xml:space="preserve">е виды внеплановых контрольных мероприятий: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 w:eastAsiaTheme="minorHAnsi"/>
          <w:sz w:val="24"/>
          <w:szCs w:val="24"/>
          <w:highlight w:val="white"/>
          <w:lang w:eastAsia="en-US"/>
        </w:rPr>
        <w:t xml:space="preserve">1) инспекционный визит;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 w:eastAsiaTheme="minorHAnsi"/>
          <w:sz w:val="24"/>
          <w:szCs w:val="24"/>
          <w:lang w:eastAsia="en-US"/>
        </w:rPr>
        <w:t xml:space="preserve">2</w:t>
      </w:r>
      <w:r>
        <w:rPr>
          <w:rFonts w:ascii="Arial" w:hAnsi="Arial" w:eastAsia="Arial" w:cs="Arial" w:eastAsiaTheme="minorHAnsi"/>
          <w:sz w:val="24"/>
          <w:szCs w:val="24"/>
          <w:highlight w:val="white"/>
          <w:lang w:eastAsia="en-US"/>
        </w:rPr>
        <w:t xml:space="preserve">) документарная проверка;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 w:eastAsiaTheme="minorHAnsi"/>
          <w:sz w:val="24"/>
          <w:szCs w:val="24"/>
          <w:lang w:eastAsia="en-US"/>
        </w:rPr>
        <w:t xml:space="preserve">3</w:t>
      </w:r>
      <w:r>
        <w:rPr>
          <w:rFonts w:ascii="Arial" w:hAnsi="Arial" w:eastAsia="Arial" w:cs="Arial" w:eastAsiaTheme="minorHAnsi"/>
          <w:sz w:val="24"/>
          <w:szCs w:val="24"/>
          <w:highlight w:val="white"/>
          <w:lang w:eastAsia="en-US"/>
        </w:rPr>
        <w:t xml:space="preserve">) выездная проверка.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 w:eastAsiaTheme="minorHAnsi"/>
          <w:sz w:val="24"/>
          <w:szCs w:val="24"/>
          <w:highlight w:val="white"/>
          <w:lang w:eastAsia="en-US"/>
        </w:rPr>
        <w:t xml:space="preserve">5. В отношении объектов, относящихся к категории высокого риска, проводятся: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 w:eastAsiaTheme="minorHAnsi"/>
          <w:sz w:val="24"/>
          <w:szCs w:val="24"/>
          <w:highlight w:val="white"/>
          <w:lang w:eastAsia="en-US"/>
        </w:rPr>
        <w:t xml:space="preserve">1) инспекционный визит;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 w:eastAsiaTheme="minorHAnsi"/>
          <w:sz w:val="24"/>
          <w:szCs w:val="24"/>
          <w:highlight w:val="white"/>
          <w:lang w:eastAsia="en-US"/>
        </w:rPr>
        <w:t xml:space="preserve">2) документарная проверка;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 w:eastAsiaTheme="minorHAnsi"/>
          <w:sz w:val="24"/>
          <w:szCs w:val="24"/>
          <w:highlight w:val="white"/>
          <w:lang w:eastAsia="en-US"/>
        </w:rPr>
        <w:t xml:space="preserve">3) выездная</w:t>
      </w:r>
      <w:r>
        <w:rPr>
          <w:rFonts w:ascii="Arial" w:hAnsi="Arial" w:eastAsia="Arial" w:cs="Arial" w:eastAsiaTheme="minorHAnsi"/>
          <w:sz w:val="24"/>
          <w:szCs w:val="24"/>
          <w:highlight w:val="white"/>
          <w:lang w:eastAsia="en-US"/>
        </w:rPr>
        <w:t xml:space="preserve"> проверка.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 w:eastAsiaTheme="minorHAnsi"/>
          <w:sz w:val="24"/>
          <w:szCs w:val="24"/>
          <w:highlight w:val="white"/>
          <w:lang w:eastAsia="en-US"/>
        </w:rPr>
        <w:t xml:space="preserve">6. В отношении объектов, относящихся к категории среднего риска, проводятся: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 w:eastAsiaTheme="minorHAnsi"/>
          <w:sz w:val="24"/>
          <w:szCs w:val="24"/>
          <w:highlight w:val="white"/>
          <w:lang w:eastAsia="en-US"/>
        </w:rPr>
        <w:t xml:space="preserve">1) документарная проверка;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 w:eastAsiaTheme="minorHAnsi"/>
          <w:sz w:val="24"/>
          <w:szCs w:val="24"/>
          <w:highlight w:val="white"/>
          <w:lang w:eastAsia="en-US"/>
        </w:rPr>
        <w:t xml:space="preserve">2) выездная проверка. 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 w:eastAsiaTheme="minorHAnsi"/>
          <w:sz w:val="24"/>
          <w:szCs w:val="24"/>
          <w:highlight w:val="white"/>
          <w:lang w:eastAsia="en-US"/>
        </w:rPr>
        <w:t xml:space="preserve">7. В отношении объектов, относящихся к категории умеренного риска, проводится документарная проверка.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 w:eastAsiaTheme="minorHAnsi"/>
          <w:sz w:val="24"/>
          <w:szCs w:val="24"/>
          <w:highlight w:val="white"/>
          <w:lang w:eastAsia="en-US"/>
        </w:rPr>
        <w:t xml:space="preserve">8. Отнесение объ</w:t>
      </w:r>
      <w:r>
        <w:rPr>
          <w:rFonts w:ascii="Arial" w:hAnsi="Arial" w:eastAsia="Arial" w:cs="Arial" w:eastAsiaTheme="minorHAnsi"/>
          <w:sz w:val="24"/>
          <w:szCs w:val="24"/>
          <w:highlight w:val="white"/>
          <w:lang w:eastAsia="en-US"/>
        </w:rPr>
        <w:t xml:space="preserve">ектов муниципального контроля к категориям риска, в том числе изменение ранее присвоенной объектам муниципального контроля категории риска, осуществляется распоряжением руководителя уполномоченного органа.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 w:eastAsiaTheme="minorHAnsi"/>
          <w:sz w:val="24"/>
          <w:szCs w:val="24"/>
          <w:highlight w:val="white"/>
          <w:lang w:eastAsia="en-US"/>
        </w:rPr>
        <w:t xml:space="preserve">9. При отсутствии распоряжения руководителя уполно</w:t>
      </w:r>
      <w:r>
        <w:rPr>
          <w:rFonts w:ascii="Arial" w:hAnsi="Arial" w:eastAsia="Arial" w:cs="Arial" w:eastAsiaTheme="minorHAnsi"/>
          <w:sz w:val="24"/>
          <w:szCs w:val="24"/>
          <w:highlight w:val="white"/>
          <w:lang w:eastAsia="en-US"/>
        </w:rPr>
        <w:t xml:space="preserve">моченного органа об отнесении объектов муниципального контроля к определенным категориям риска (далее - распоряжение об отнесении объектов муниципального контроля к определенным категориям риска) такие объекты муниципального контроля считаются отнесенными </w:t>
      </w:r>
      <w:r>
        <w:rPr>
          <w:rFonts w:ascii="Arial" w:hAnsi="Arial" w:eastAsia="Arial" w:cs="Arial" w:eastAsiaTheme="minorHAnsi"/>
          <w:sz w:val="24"/>
          <w:szCs w:val="24"/>
          <w:highlight w:val="white"/>
          <w:lang w:eastAsia="en-US"/>
        </w:rPr>
        <w:t xml:space="preserve">к низкой категории риска.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 w:eastAsiaTheme="minorHAnsi"/>
          <w:sz w:val="24"/>
          <w:szCs w:val="24"/>
          <w:highlight w:val="white"/>
          <w:lang w:eastAsia="en-US"/>
        </w:rPr>
        <w:t xml:space="preserve">10. Пересмотр распоряжения об отнесении объектов муниципального контроля к определенным категориям риска осуществляется в порядке, установленном настоящим Положением, для отнесения объектов муниципального контроля к категориям рис</w:t>
      </w:r>
      <w:r>
        <w:rPr>
          <w:rFonts w:ascii="Arial" w:hAnsi="Arial" w:eastAsia="Arial" w:cs="Arial" w:eastAsiaTheme="minorHAnsi"/>
          <w:sz w:val="24"/>
          <w:szCs w:val="24"/>
          <w:highlight w:val="white"/>
          <w:lang w:eastAsia="en-US"/>
        </w:rPr>
        <w:t xml:space="preserve">ка с учетом особенностей, установленных настоящей статьей.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 w:eastAsiaTheme="minorHAnsi"/>
          <w:sz w:val="24"/>
          <w:szCs w:val="24"/>
          <w:highlight w:val="white"/>
          <w:lang w:eastAsia="en-US"/>
        </w:rPr>
        <w:t xml:space="preserve">11. В случае пересмотра распоряжения об отнесении объектов муниципального контроля к определенным категориям риска распоряжение об изменении категории риска на более высок</w:t>
      </w:r>
      <w:r>
        <w:rPr>
          <w:rFonts w:ascii="Arial" w:hAnsi="Arial" w:eastAsia="Arial" w:cs="Arial" w:eastAsiaTheme="minorHAnsi"/>
          <w:sz w:val="24"/>
          <w:szCs w:val="24"/>
          <w:highlight w:val="white"/>
          <w:lang w:eastAsia="en-US"/>
        </w:rPr>
        <w:t xml:space="preserve">ую категорию либо на более низкую категорию принимается руководителем уполномоченного органа на основании сведений, подтверждающих соответствие объектов муниципального контроля критериям риска иной категории риска либо об изменении критериев риска.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 w:eastAsiaTheme="minorHAnsi"/>
          <w:sz w:val="24"/>
          <w:szCs w:val="24"/>
          <w:highlight w:val="white"/>
          <w:lang w:eastAsia="en-US"/>
        </w:rPr>
        <w:t xml:space="preserve">12. </w:t>
      </w:r>
      <w:r>
        <w:rPr>
          <w:rFonts w:ascii="Arial" w:hAnsi="Arial" w:eastAsia="Arial" w:cs="Arial" w:eastAsiaTheme="minorHAnsi"/>
          <w:sz w:val="24"/>
          <w:szCs w:val="24"/>
          <w:highlight w:val="white"/>
          <w:lang w:eastAsia="en-US"/>
        </w:rPr>
        <w:t xml:space="preserve">Распоряжение об отнесении объектов муниципального контроля к определенным категориям риска принимается в течение пяти рабочих дней со дня </w:t>
      </w:r>
      <w:r>
        <w:rPr>
          <w:rFonts w:ascii="Arial" w:hAnsi="Arial" w:eastAsia="Arial" w:cs="Arial" w:eastAsiaTheme="minorHAnsi"/>
          <w:sz w:val="24"/>
          <w:szCs w:val="24"/>
          <w:highlight w:val="white"/>
          <w:lang w:eastAsia="en-US"/>
        </w:rPr>
        <w:t xml:space="preserve">поступления сведений о соответствии объектов муниципального контроля критериям риска иной категории риска либо об изме</w:t>
      </w:r>
      <w:r>
        <w:rPr>
          <w:rFonts w:ascii="Arial" w:hAnsi="Arial" w:eastAsia="Arial" w:cs="Arial" w:eastAsiaTheme="minorHAnsi"/>
          <w:sz w:val="24"/>
          <w:szCs w:val="24"/>
          <w:highlight w:val="white"/>
          <w:lang w:eastAsia="en-US"/>
        </w:rPr>
        <w:t xml:space="preserve">нении критериев риска.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 w:eastAsiaTheme="minorHAnsi"/>
          <w:sz w:val="24"/>
          <w:szCs w:val="24"/>
          <w:highlight w:val="white"/>
          <w:lang w:eastAsia="en-US"/>
        </w:rPr>
        <w:t xml:space="preserve">13. Уполномоченный орган ведет перечень объектов муниципального контроля, которым присвоены определенные категории риска (далее - перечень). Включение объектов муниципального контроля в перечень осуществляется на основании распоряжен</w:t>
      </w:r>
      <w:r>
        <w:rPr>
          <w:rFonts w:ascii="Arial" w:hAnsi="Arial" w:eastAsia="Arial" w:cs="Arial" w:eastAsiaTheme="minorHAnsi"/>
          <w:sz w:val="24"/>
          <w:szCs w:val="24"/>
          <w:highlight w:val="white"/>
          <w:lang w:eastAsia="en-US"/>
        </w:rPr>
        <w:t xml:space="preserve">ия об отнесении объектов муниципального контроля к определенным категориям риска.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 w:eastAsiaTheme="minorHAnsi"/>
          <w:sz w:val="24"/>
          <w:szCs w:val="24"/>
          <w:highlight w:val="white"/>
          <w:lang w:eastAsia="en-US"/>
        </w:rPr>
        <w:t xml:space="preserve">14. Сбор, обработка, анализ и учет сведений об объектах контроля в целях их отнесения к категориям риска либо определения индикаторов риска нарушения обязательных требований </w:t>
      </w:r>
      <w:r>
        <w:rPr>
          <w:rFonts w:ascii="Arial" w:hAnsi="Arial" w:eastAsia="Arial" w:cs="Arial" w:eastAsiaTheme="minorHAnsi"/>
          <w:sz w:val="24"/>
          <w:szCs w:val="24"/>
          <w:highlight w:val="white"/>
          <w:lang w:eastAsia="en-US"/>
        </w:rPr>
        <w:t xml:space="preserve">должны осуществляться уполномоченным органом без взаимодействия с контролируемыми лицами (за исключением сбора, обработки, анализа и учета сведений в рамках обязательного профилактического визита).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 w:eastAsiaTheme="minorHAnsi"/>
          <w:sz w:val="24"/>
          <w:szCs w:val="24"/>
          <w:highlight w:val="white"/>
          <w:lang w:eastAsia="en-US"/>
        </w:rPr>
        <w:t xml:space="preserve">15. Перечень содержит следующую информацию: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 w:eastAsiaTheme="minorHAnsi"/>
          <w:sz w:val="24"/>
          <w:szCs w:val="24"/>
          <w:highlight w:val="white"/>
          <w:lang w:eastAsia="en-US"/>
        </w:rPr>
        <w:t xml:space="preserve">1) местонахожд</w:t>
      </w:r>
      <w:r>
        <w:rPr>
          <w:rFonts w:ascii="Arial" w:hAnsi="Arial" w:eastAsia="Arial" w:cs="Arial" w:eastAsiaTheme="minorHAnsi"/>
          <w:sz w:val="24"/>
          <w:szCs w:val="24"/>
          <w:highlight w:val="white"/>
          <w:lang w:eastAsia="en-US"/>
        </w:rPr>
        <w:t xml:space="preserve">ение объекта муниципального контроля;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 w:eastAsiaTheme="minorHAnsi"/>
          <w:sz w:val="24"/>
          <w:szCs w:val="24"/>
          <w:highlight w:val="white"/>
          <w:lang w:eastAsia="en-US"/>
        </w:rPr>
        <w:t xml:space="preserve">2) кадастровый номер объекта муниципального контроля (при наличии);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 w:eastAsiaTheme="minorHAnsi"/>
          <w:sz w:val="24"/>
          <w:szCs w:val="24"/>
          <w:highlight w:val="white"/>
          <w:lang w:eastAsia="en-US"/>
        </w:rPr>
        <w:t xml:space="preserve">3) дату и номер решения о присвоении объекту муниципального контроля категории риска, указание на категорию риска, а также сведения, на основании кото</w:t>
      </w:r>
      <w:r>
        <w:rPr>
          <w:rFonts w:ascii="Arial" w:hAnsi="Arial" w:eastAsia="Arial" w:cs="Arial" w:eastAsiaTheme="minorHAnsi"/>
          <w:sz w:val="24"/>
          <w:szCs w:val="24"/>
          <w:highlight w:val="white"/>
          <w:lang w:eastAsia="en-US"/>
        </w:rPr>
        <w:t xml:space="preserve">рых было принято решение об отнесении объекта муниципального контроля к категории риска.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 w:eastAsiaTheme="minorHAnsi"/>
          <w:sz w:val="24"/>
          <w:szCs w:val="24"/>
          <w:highlight w:val="white"/>
          <w:lang w:eastAsia="en-US"/>
        </w:rPr>
        <w:t xml:space="preserve">16. В целях управления рисками причинения вреда (ущерба) при осуществлении муниципального контроля объекты контроля могут быть отнесены к одной из следующих категорий </w:t>
      </w:r>
      <w:r>
        <w:rPr>
          <w:rFonts w:ascii="Arial" w:hAnsi="Arial" w:eastAsia="Arial" w:cs="Arial" w:eastAsiaTheme="minorHAnsi"/>
          <w:sz w:val="24"/>
          <w:szCs w:val="24"/>
          <w:highlight w:val="white"/>
          <w:lang w:eastAsia="en-US"/>
        </w:rPr>
        <w:t xml:space="preserve">риска причинения вреда (ущерба) (далее – категории риска):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 w:eastAsiaTheme="minorHAnsi"/>
          <w:sz w:val="24"/>
          <w:szCs w:val="24"/>
          <w:highlight w:val="white"/>
          <w:lang w:eastAsia="en-US"/>
        </w:rPr>
        <w:t xml:space="preserve">1) высокий риск;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 w:eastAsiaTheme="minorHAnsi"/>
          <w:sz w:val="24"/>
          <w:szCs w:val="24"/>
          <w:highlight w:val="white"/>
          <w:lang w:eastAsia="en-US"/>
        </w:rPr>
        <w:t xml:space="preserve">2) средний риск;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 w:eastAsiaTheme="minorHAnsi"/>
          <w:sz w:val="24"/>
          <w:szCs w:val="24"/>
          <w:highlight w:val="white"/>
          <w:lang w:eastAsia="en-US"/>
        </w:rPr>
        <w:t xml:space="preserve">3) умеренный риск;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 w:eastAsiaTheme="minorHAnsi"/>
          <w:sz w:val="24"/>
          <w:szCs w:val="24"/>
          <w:highlight w:val="white"/>
          <w:lang w:eastAsia="en-US"/>
        </w:rPr>
        <w:t xml:space="preserve">4) низкий риск.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 w:eastAsiaTheme="minorHAnsi"/>
          <w:sz w:val="24"/>
          <w:szCs w:val="24"/>
          <w:highlight w:val="white"/>
          <w:lang w:eastAsia="en-US"/>
        </w:rPr>
        <w:t xml:space="preserve">17. 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Категории риска присваиваются объектам контроля в соответствии со следующими критериями: 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/>
          <w:sz w:val="24"/>
          <w:szCs w:val="24"/>
          <w:highlight w:val="white"/>
        </w:rPr>
        <w:t xml:space="preserve">1) деятельность по оказанию коммун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альных услуг и управлению многоквартирными домами, общая площадь которых составляет 300 тыс. кв. м. и более, относится: 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/>
          <w:sz w:val="24"/>
          <w:szCs w:val="24"/>
          <w:highlight w:val="white"/>
        </w:rPr>
        <w:t xml:space="preserve">а) к высокой категории риска, если в отчетный период контролируемому лицу было выдано более 10 предписаний, либо контролируемому лицу в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ыдано пять предписаний и контролируемое лицо более четырёх раз было привлечено к ответственности за административные правонарушения, предусмотренные частью 1 статьи 19.4, частью 1 статьи 19.4.1, статьей 19.7 Кодекса Российской Федерации об административных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 правонарушениях, либо уполномоченным органом установлен факт неисполнения контролируемым лицом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 в установленный срок более шести предписаний; 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/>
          <w:sz w:val="24"/>
          <w:szCs w:val="24"/>
          <w:highlight w:val="white"/>
        </w:rPr>
        <w:t xml:space="preserve">б) к средней категории риска, если в отчетный период контролируемому лицу было выдано от пяти до десяти предписан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ий, либо выдано контролируемому лицу 3 предписания и контролируемое лицо от двух до четырёх раз было привлечено к ответственности за административные правонарушения, предусмотренные частью 1 статьи 19.4, частью 1 статьи 19.4.1, статьей 19.7 Кодекса Российс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кой Федерации об административных правонарушениях, либо уполномоченным органом установлен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 факт неисполнения контролируемым лицом в установленный срок от трёх до шести  предписаний; 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/>
          <w:sz w:val="24"/>
          <w:szCs w:val="24"/>
          <w:highlight w:val="white"/>
        </w:rPr>
        <w:t xml:space="preserve">2) деятельность по управлению многоквартирными домами, общая площадь котор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ых составляет менее 300 тыс. кв. м., и по содержанию и ремонту общего имущества собственников помещений в многоквартирном доме и относится: 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/>
          <w:sz w:val="24"/>
          <w:szCs w:val="24"/>
          <w:highlight w:val="white"/>
        </w:rPr>
        <w:t xml:space="preserve">а) к высокой категории риска, если в отчетный период контролируемому лицу было выдано пять и более предписаний, либ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о контролируемому лицу выдано от одного до четырёх предписаний и контролируемое лицо два и 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более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 раз было 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привлечено к ответственности за административные правонарушения, предусмотренные частью 1 статьи 19.4, частью 1 статьи 19.4.1, статьей 19.7 Кодекса Ро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ссийской Федерации об административных правонарушениях, либо уполномоченным органом установлен факт неисполнения контролируемым лицом в установленный срок трёх  и более предписаний; 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/>
          <w:sz w:val="24"/>
          <w:szCs w:val="24"/>
          <w:highlight w:val="white"/>
        </w:rPr>
        <w:t xml:space="preserve">б) к средней категории риска, если в отчетный период контролируемому лицу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 было выдано от трёх до четырёх предписаний, либо контролируемое лицо было привлечено к ответственности за административное правонарушение, предусмотренные частью 1 статьи 19.4, частью 1 статьи 19.4.1, статьей 19.7 Кодекса Российской Федерации об администр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ативных правонарушениях, либо уполномоченным органом установлен факт неисполнения в установленный срок контролируемым лицом предписания. 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/>
          <w:sz w:val="24"/>
          <w:szCs w:val="24"/>
          <w:highlight w:val="white"/>
        </w:rPr>
        <w:t xml:space="preserve">3) к категории низкого риска относятся объекты контроля, не отнесенные к категориям высокого и среднего риска.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 w:eastAsiaTheme="minorHAnsi"/>
          <w:sz w:val="24"/>
          <w:szCs w:val="24"/>
          <w:highlight w:val="white"/>
          <w:lang w:eastAsia="en-US"/>
        </w:rPr>
        <w:t xml:space="preserve">18. Кри</w:t>
      </w:r>
      <w:r>
        <w:rPr>
          <w:rFonts w:ascii="Arial" w:hAnsi="Arial" w:eastAsia="Arial" w:cs="Arial" w:eastAsiaTheme="minorHAnsi"/>
          <w:sz w:val="24"/>
          <w:szCs w:val="24"/>
          <w:highlight w:val="white"/>
          <w:lang w:eastAsia="en-US"/>
        </w:rPr>
        <w:t xml:space="preserve">терии отнесения объектов контроля к категориям риска в рамках осуществления муниципального контроля установлены приложением к настоящему Положению</w:t>
      </w:r>
      <w:r>
        <w:rPr>
          <w:rFonts w:ascii="Arial" w:hAnsi="Arial" w:eastAsia="Arial" w:cs="Arial" w:eastAsiaTheme="minorHAnsi"/>
          <w:sz w:val="24"/>
          <w:szCs w:val="24"/>
          <w:highlight w:val="white"/>
          <w:lang w:eastAsia="en-US"/>
        </w:rPr>
        <w:t xml:space="preserve">.</w:t>
      </w:r>
      <w:r>
        <w:rPr>
          <w:rFonts w:ascii="Arial" w:hAnsi="Arial" w:eastAsia="Arial" w:cs="Arial"/>
          <w:sz w:val="24"/>
          <w:szCs w:val="24"/>
          <w:highlight w:val="white"/>
          <w:shd w:val="clear" w:color="auto" w:fill="ffffff"/>
        </w:rPr>
        <w:t xml:space="preserve">»;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 w:eastAsiaTheme="minorHAnsi"/>
          <w:sz w:val="24"/>
          <w:szCs w:val="24"/>
          <w:highlight w:val="white"/>
          <w:lang w:eastAsia="en-US"/>
        </w:rPr>
        <w:t xml:space="preserve">4) часть 3 статьи 4 изложить в следующей редакции: 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 w:eastAsiaTheme="minorHAnsi"/>
          <w:sz w:val="24"/>
          <w:szCs w:val="24"/>
          <w:highlight w:val="white"/>
          <w:lang w:eastAsia="en-US"/>
        </w:rPr>
        <w:t xml:space="preserve">«3. Внеплановые контрольные мероприятия, за исключение</w:t>
      </w:r>
      <w:r>
        <w:rPr>
          <w:rFonts w:ascii="Arial" w:hAnsi="Arial" w:eastAsia="Arial" w:cs="Arial" w:eastAsiaTheme="minorHAnsi"/>
          <w:sz w:val="24"/>
          <w:szCs w:val="24"/>
          <w:highlight w:val="white"/>
          <w:lang w:eastAsia="en-US"/>
        </w:rPr>
        <w:t xml:space="preserve">м внеплановых контрольных мероприятий без взаимодействия, проводятся при наличии оснований, предусмотренных </w:t>
      </w:r>
      <w:hyperlink r:id="rId17" w:tooltip="https://login.consultant.ru/link/?req=doc&amp;base=LAW&amp;n=495001&amp;dst=100634" w:history="1">
        <w:r>
          <w:rPr>
            <w:rFonts w:ascii="Arial" w:hAnsi="Arial" w:eastAsia="Arial" w:cs="Arial" w:eastAsiaTheme="minorHAnsi"/>
            <w:sz w:val="24"/>
            <w:szCs w:val="24"/>
            <w:highlight w:val="white"/>
            <w:lang w:eastAsia="en-US"/>
          </w:rPr>
          <w:t xml:space="preserve">пунктами 1</w:t>
        </w:r>
      </w:hyperlink>
      <w:r>
        <w:rPr>
          <w:rFonts w:ascii="Arial" w:hAnsi="Arial" w:eastAsia="Arial" w:cs="Arial" w:eastAsiaTheme="minorHAnsi"/>
          <w:sz w:val="24"/>
          <w:szCs w:val="24"/>
          <w:highlight w:val="white"/>
          <w:lang w:eastAsia="en-US"/>
        </w:rPr>
        <w:t xml:space="preserve">, </w:t>
      </w:r>
      <w:hyperlink r:id="rId18" w:tooltip="https://login.consultant.ru/link/?req=doc&amp;base=LAW&amp;n=495001&amp;dst=100636" w:history="1">
        <w:r>
          <w:rPr>
            <w:rFonts w:ascii="Arial" w:hAnsi="Arial" w:eastAsia="Arial" w:cs="Arial" w:eastAsiaTheme="minorHAnsi"/>
            <w:sz w:val="24"/>
            <w:szCs w:val="24"/>
            <w:highlight w:val="white"/>
            <w:lang w:eastAsia="en-US"/>
          </w:rPr>
          <w:t xml:space="preserve">3</w:t>
        </w:r>
      </w:hyperlink>
      <w:r>
        <w:rPr>
          <w:rFonts w:ascii="Arial" w:hAnsi="Arial" w:eastAsia="Arial" w:cs="Arial" w:eastAsiaTheme="minorHAnsi"/>
          <w:sz w:val="24"/>
          <w:szCs w:val="24"/>
          <w:highlight w:val="white"/>
          <w:lang w:eastAsia="en-US"/>
        </w:rPr>
        <w:t xml:space="preserve">, </w:t>
      </w:r>
      <w:hyperlink r:id="rId19" w:tooltip="https://login.consultant.ru/link/?req=doc&amp;base=LAW&amp;n=495001&amp;dst=100637" w:history="1">
        <w:r>
          <w:rPr>
            <w:rFonts w:ascii="Arial" w:hAnsi="Arial" w:eastAsia="Arial" w:cs="Arial" w:eastAsiaTheme="minorHAnsi"/>
            <w:sz w:val="24"/>
            <w:szCs w:val="24"/>
            <w:highlight w:val="white"/>
            <w:lang w:eastAsia="en-US"/>
          </w:rPr>
          <w:t xml:space="preserve">4</w:t>
        </w:r>
      </w:hyperlink>
      <w:r>
        <w:rPr>
          <w:rFonts w:ascii="Arial" w:hAnsi="Arial" w:eastAsia="Arial" w:cs="Arial" w:eastAsiaTheme="minorHAnsi"/>
          <w:sz w:val="24"/>
          <w:szCs w:val="24"/>
          <w:highlight w:val="white"/>
          <w:lang w:eastAsia="en-US"/>
        </w:rPr>
        <w:t xml:space="preserve">, 5 части 1 статьи 57 и </w:t>
      </w:r>
      <w:hyperlink r:id="rId20" w:tooltip="https://login.consultant.ru/link/?req=doc&amp;base=LAW&amp;n=495001&amp;dst=101187" w:history="1">
        <w:r>
          <w:rPr>
            <w:rFonts w:ascii="Arial" w:hAnsi="Arial" w:eastAsia="Arial" w:cs="Arial" w:eastAsiaTheme="minorHAnsi"/>
            <w:sz w:val="24"/>
            <w:szCs w:val="24"/>
            <w:highlight w:val="white"/>
            <w:lang w:eastAsia="en-US"/>
          </w:rPr>
          <w:t xml:space="preserve">частью 12 статьи 66</w:t>
        </w:r>
      </w:hyperlink>
      <w:r>
        <w:rPr>
          <w:rFonts w:ascii="Arial" w:hAnsi="Arial" w:eastAsia="Arial" w:cs="Arial" w:eastAsiaTheme="minorHAnsi"/>
          <w:sz w:val="24"/>
          <w:szCs w:val="24"/>
          <w:highlight w:val="white"/>
          <w:lang w:eastAsia="en-US"/>
        </w:rPr>
        <w:t xml:space="preserve"> Федерального закона «О государственном контроле (надзоре) и муниципальном контроле в Российской Федерации</w:t>
      </w:r>
      <w:r>
        <w:rPr>
          <w:rFonts w:ascii="Arial" w:hAnsi="Arial" w:eastAsia="Arial" w:cs="Arial" w:eastAsiaTheme="minorHAnsi"/>
          <w:sz w:val="24"/>
          <w:szCs w:val="24"/>
          <w:highlight w:val="white"/>
          <w:lang w:eastAsia="en-US"/>
        </w:rPr>
        <w:t xml:space="preserve">.».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Style w:val="966"/>
        <w:pBdr/>
        <w:shd w:val="clear" w:color="auto" w:fill="auto"/>
        <w:tabs>
          <w:tab w:val="left" w:leader="none" w:pos="709"/>
          <w:tab w:val="left" w:leader="none" w:pos="1084"/>
        </w:tabs>
        <w:spacing w:line="240" w:lineRule="auto"/>
        <w:ind w:right="0" w:firstLine="709" w:left="0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/>
          <w:sz w:val="24"/>
          <w:szCs w:val="24"/>
          <w:highlight w:val="white"/>
        </w:rPr>
        <w:t xml:space="preserve">2. Настоящее решение вступает в силу после официального опубликования.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pacing w:line="266" w:lineRule="exact"/>
        <w:ind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pacing w:line="266" w:lineRule="exact"/>
        <w:ind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pacing/>
        <w:ind/>
        <w:jc w:val="both"/>
        <w:rPr>
          <w:rFonts w:ascii="Arial" w:hAnsi="Arial" w:eastAsia="Arial" w:cs="Arial"/>
          <w:sz w:val="24"/>
          <w:szCs w:val="24"/>
          <w:highlight w:val="white"/>
        </w:rPr>
      </w:pPr>
      <w:r>
        <w:rPr>
          <w:rFonts w:ascii="Arial" w:hAnsi="Arial" w:eastAsia="Arial" w:cs="Arial"/>
          <w:sz w:val="24"/>
          <w:szCs w:val="24"/>
          <w:highlight w:val="white"/>
        </w:rPr>
        <w:t xml:space="preserve">Глава городского округа 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город Шарья </w:t>
      </w:r>
      <w:r>
        <w:rPr>
          <w:rFonts w:ascii="Arial" w:hAnsi="Arial" w:eastAsia="Arial" w:cs="Arial"/>
          <w:sz w:val="24"/>
          <w:szCs w:val="24"/>
          <w:highlight w:val="white"/>
        </w:rPr>
      </w:r>
      <w:r>
        <w:rPr>
          <w:rFonts w:ascii="Arial" w:hAnsi="Arial" w:eastAsia="Arial" w:cs="Arial"/>
          <w:sz w:val="24"/>
          <w:szCs w:val="24"/>
          <w:highlight w:val="white"/>
        </w:rPr>
      </w:r>
    </w:p>
    <w:p>
      <w:pPr>
        <w:pBdr/>
        <w:spacing/>
        <w:ind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/>
          <w:sz w:val="24"/>
          <w:szCs w:val="24"/>
          <w:highlight w:val="white"/>
        </w:rPr>
        <w:t xml:space="preserve">Костромской области                                                                                        Л.И. Удалова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pacing/>
        <w:ind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pacing/>
        <w:ind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pacing/>
        <w:ind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/>
          <w:sz w:val="24"/>
          <w:szCs w:val="24"/>
          <w:highlight w:val="white"/>
        </w:rPr>
        <w:t xml:space="preserve">Председатель Думы городского округа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pacing/>
        <w:ind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/>
          <w:sz w:val="24"/>
          <w:szCs w:val="24"/>
          <w:highlight w:val="white"/>
        </w:rPr>
        <w:t xml:space="preserve">город Шарья Костромской области                                                      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               С.Н. Фокин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pacing/>
        <w:ind/>
        <w:jc w:val="left"/>
        <w:outlineLvl w:val="0"/>
        <w:rPr>
          <w:rFonts w:ascii="Arial" w:hAnsi="Arial" w:cs="Arial" w:eastAsiaTheme="minorHAnsi"/>
          <w:highlight w:val="white"/>
          <w:lang w:eastAsia="en-US"/>
        </w:rPr>
      </w:pPr>
      <w:r>
        <w:rPr>
          <w:rFonts w:ascii="Arial" w:hAnsi="Arial" w:cs="Arial" w:eastAsiaTheme="minorHAnsi"/>
          <w:highlight w:val="white"/>
          <w:lang w:eastAsia="en-US"/>
        </w:rPr>
      </w:r>
      <w:r>
        <w:rPr>
          <w:rFonts w:ascii="Arial" w:hAnsi="Arial" w:cs="Arial" w:eastAsiaTheme="minorHAnsi"/>
          <w:highlight w:val="white"/>
          <w:lang w:eastAsia="en-US"/>
        </w:rPr>
      </w:r>
      <w:r>
        <w:rPr>
          <w:rFonts w:ascii="Arial" w:hAnsi="Arial" w:cs="Arial" w:eastAsiaTheme="minorHAnsi"/>
          <w:highlight w:val="white"/>
          <w:lang w:eastAsia="en-US"/>
        </w:rPr>
      </w:r>
    </w:p>
    <w:p>
      <w:pPr>
        <w:pBdr/>
        <w:spacing/>
        <w:ind/>
        <w:jc w:val="left"/>
        <w:outlineLvl w:val="0"/>
        <w:rPr>
          <w:rFonts w:ascii="Arial" w:hAnsi="Arial" w:cs="Arial" w:eastAsiaTheme="minorHAnsi"/>
          <w:highlight w:val="white"/>
          <w:lang w:eastAsia="en-US"/>
        </w:rPr>
      </w:pPr>
      <w:r>
        <w:rPr>
          <w:rFonts w:ascii="Arial" w:hAnsi="Arial" w:cs="Arial" w:eastAsiaTheme="minorHAnsi"/>
          <w:highlight w:val="white"/>
          <w:lang w:eastAsia="en-US"/>
        </w:rPr>
      </w:r>
      <w:r>
        <w:rPr>
          <w:rFonts w:ascii="Arial" w:hAnsi="Arial" w:cs="Arial" w:eastAsiaTheme="minorHAnsi"/>
          <w:highlight w:val="white"/>
          <w:lang w:eastAsia="en-US"/>
        </w:rPr>
      </w:r>
      <w:r>
        <w:rPr>
          <w:rFonts w:ascii="Arial" w:hAnsi="Arial" w:cs="Arial" w:eastAsiaTheme="minorHAnsi"/>
          <w:highlight w:val="white"/>
          <w:lang w:eastAsia="en-US"/>
        </w:rPr>
      </w:r>
    </w:p>
    <w:p>
      <w:pPr>
        <w:pBdr/>
        <w:spacing/>
        <w:ind/>
        <w:jc w:val="left"/>
        <w:outlineLvl w:val="0"/>
        <w:rPr>
          <w:rFonts w:ascii="Arial" w:hAnsi="Arial" w:cs="Arial" w:eastAsiaTheme="minorHAnsi"/>
          <w:highlight w:val="none"/>
          <w:lang w:eastAsia="en-US"/>
        </w:rPr>
      </w:pPr>
      <w:r>
        <w:rPr>
          <w:rFonts w:ascii="Arial" w:hAnsi="Arial" w:cs="Arial" w:eastAsiaTheme="minorHAnsi"/>
          <w:highlight w:val="white"/>
          <w:lang w:eastAsia="en-US"/>
        </w:rPr>
      </w:r>
      <w:r>
        <w:rPr>
          <w:rFonts w:ascii="Arial" w:hAnsi="Arial" w:cs="Arial" w:eastAsiaTheme="minorHAnsi"/>
          <w:highlight w:val="none"/>
          <w:lang w:eastAsia="en-US"/>
        </w:rPr>
        <w:t xml:space="preserve">о</w:t>
      </w:r>
      <w:r>
        <w:rPr>
          <w:rFonts w:ascii="Arial" w:hAnsi="Arial" w:cs="Arial" w:eastAsiaTheme="minorHAnsi"/>
          <w:highlight w:val="none"/>
          <w:lang w:eastAsia="en-US"/>
        </w:rPr>
        <w:t xml:space="preserve">т 28 августа 2025 года</w:t>
      </w:r>
      <w:r>
        <w:rPr>
          <w:rFonts w:ascii="Arial" w:hAnsi="Arial" w:cs="Arial" w:eastAsiaTheme="minorHAnsi"/>
          <w:highlight w:val="none"/>
          <w:lang w:eastAsia="en-US"/>
        </w:rPr>
      </w:r>
      <w:r>
        <w:rPr>
          <w:rFonts w:ascii="Arial" w:hAnsi="Arial" w:cs="Arial" w:eastAsiaTheme="minorHAnsi"/>
          <w:highlight w:val="none"/>
          <w:lang w:eastAsia="en-US"/>
        </w:rPr>
      </w:r>
    </w:p>
    <w:p>
      <w:pPr>
        <w:pBdr/>
        <w:spacing/>
        <w:ind/>
        <w:jc w:val="left"/>
        <w:outlineLvl w:val="0"/>
        <w:rPr>
          <w:rFonts w:ascii="Arial" w:hAnsi="Arial" w:cs="Arial" w:eastAsiaTheme="minorHAnsi"/>
          <w:highlight w:val="white"/>
          <w:lang w:eastAsia="en-US"/>
        </w:rPr>
      </w:pPr>
      <w:r>
        <w:rPr>
          <w:rFonts w:ascii="Arial" w:hAnsi="Arial" w:cs="Arial" w:eastAsiaTheme="minorHAnsi"/>
          <w:highlight w:val="none"/>
          <w:lang w:eastAsia="en-US"/>
        </w:rPr>
        <w:t xml:space="preserve">№ 26-ДН</w:t>
      </w:r>
      <w:r>
        <w:rPr>
          <w:rFonts w:ascii="Arial" w:hAnsi="Arial" w:cs="Arial" w:eastAsiaTheme="minorHAnsi"/>
          <w:highlight w:val="white"/>
          <w:lang w:eastAsia="en-US"/>
        </w:rPr>
      </w:r>
      <w:r>
        <w:rPr>
          <w:rFonts w:ascii="Arial" w:hAnsi="Arial" w:cs="Arial" w:eastAsiaTheme="minorHAnsi"/>
          <w:highlight w:val="white"/>
          <w:lang w:eastAsia="en-US"/>
        </w:rPr>
      </w:r>
    </w:p>
    <w:p>
      <w:pPr>
        <w:pBdr/>
        <w:shd w:val="nil" w:color="auto"/>
        <w:spacing/>
        <w:ind/>
        <w:outlineLvl w:val="0"/>
        <w:rPr>
          <w:rFonts w:ascii="Arial" w:hAnsi="Arial" w:cs="Arial" w:eastAsiaTheme="minorHAnsi"/>
          <w:highlight w:val="white"/>
          <w:lang w:eastAsia="en-US"/>
        </w:rPr>
      </w:pPr>
      <w:r>
        <w:rPr>
          <w:rFonts w:ascii="Arial" w:hAnsi="Arial" w:cs="Arial" w:eastAsiaTheme="minorHAnsi"/>
          <w:highlight w:val="none"/>
          <w:lang w:eastAsia="en-US"/>
        </w:rPr>
        <w:br w:type="page" w:clear="all"/>
      </w:r>
      <w:r>
        <w:rPr>
          <w:rFonts w:ascii="Arial" w:hAnsi="Arial" w:cs="Arial" w:eastAsiaTheme="minorHAnsi"/>
          <w:highlight w:val="white"/>
          <w:lang w:eastAsia="en-US"/>
        </w:rPr>
      </w:r>
      <w:r>
        <w:rPr>
          <w:rFonts w:ascii="Arial" w:hAnsi="Arial" w:cs="Arial" w:eastAsiaTheme="minorHAnsi"/>
          <w:highlight w:val="white"/>
          <w:lang w:eastAsia="en-US"/>
        </w:rPr>
      </w:r>
    </w:p>
    <w:p>
      <w:pPr>
        <w:pBdr/>
        <w:spacing/>
        <w:ind w:right="0" w:firstLine="0" w:left="5669"/>
        <w:jc w:val="left"/>
        <w:outlineLvl w:val="0"/>
        <w:rPr>
          <w:rFonts w:ascii="Arial" w:hAnsi="Arial" w:cs="Arial" w:eastAsiaTheme="minorHAnsi"/>
          <w:sz w:val="24"/>
          <w:szCs w:val="24"/>
          <w:highlight w:val="white"/>
        </w:rPr>
      </w:pPr>
      <w:r>
        <w:rPr>
          <w:rFonts w:ascii="Arial" w:hAnsi="Arial" w:cs="Arial" w:eastAsiaTheme="minorHAnsi"/>
          <w:sz w:val="24"/>
          <w:szCs w:val="24"/>
          <w:highlight w:val="white"/>
          <w:lang w:eastAsia="en-US"/>
        </w:rPr>
        <w:t xml:space="preserve">Приложение </w:t>
      </w:r>
      <w:r>
        <w:rPr>
          <w:rFonts w:ascii="Arial" w:hAnsi="Arial" w:cs="Arial" w:eastAsiaTheme="minorHAnsi"/>
          <w:sz w:val="24"/>
          <w:szCs w:val="24"/>
          <w:highlight w:val="white"/>
        </w:rPr>
      </w:r>
      <w:r>
        <w:rPr>
          <w:rFonts w:ascii="Arial" w:hAnsi="Arial" w:cs="Arial" w:eastAsiaTheme="minorHAnsi"/>
          <w:sz w:val="24"/>
          <w:szCs w:val="24"/>
          <w:highlight w:val="white"/>
        </w:rPr>
      </w:r>
    </w:p>
    <w:p>
      <w:pPr>
        <w:pBdr/>
        <w:spacing/>
        <w:ind w:right="0" w:firstLine="0" w:left="5669"/>
        <w:jc w:val="left"/>
        <w:rPr>
          <w:rFonts w:ascii="Arial" w:hAnsi="Arial" w:cs="Arial" w:eastAsiaTheme="minorHAnsi"/>
          <w:sz w:val="24"/>
          <w:szCs w:val="24"/>
          <w:highlight w:val="white"/>
        </w:rPr>
      </w:pPr>
      <w:r>
        <w:rPr>
          <w:rFonts w:ascii="Arial" w:hAnsi="Arial" w:cs="Arial" w:eastAsiaTheme="minorHAnsi"/>
          <w:sz w:val="24"/>
          <w:szCs w:val="24"/>
          <w:highlight w:val="white"/>
          <w:lang w:eastAsia="en-US"/>
        </w:rPr>
        <w:t xml:space="preserve">к Положению о </w:t>
      </w:r>
      <w:r>
        <w:rPr>
          <w:rFonts w:ascii="Arial" w:hAnsi="Arial" w:cs="Arial" w:eastAsiaTheme="minorHAnsi"/>
          <w:sz w:val="24"/>
          <w:szCs w:val="24"/>
          <w:highlight w:val="white"/>
          <w:lang w:eastAsia="en-US"/>
        </w:rPr>
        <w:t xml:space="preserve">муниципальном</w:t>
      </w:r>
      <w:r>
        <w:rPr>
          <w:rFonts w:ascii="Arial" w:hAnsi="Arial" w:cs="Arial" w:eastAsiaTheme="minorHAnsi"/>
          <w:sz w:val="24"/>
          <w:szCs w:val="24"/>
          <w:highlight w:val="white"/>
          <w:lang w:eastAsia="en-US"/>
        </w:rPr>
        <w:t xml:space="preserve"> жилищном</w:t>
      </w:r>
      <w:r>
        <w:rPr>
          <w:rFonts w:ascii="Arial" w:hAnsi="Arial" w:cs="Arial" w:eastAsiaTheme="minorHAnsi"/>
          <w:sz w:val="24"/>
          <w:szCs w:val="24"/>
          <w:highlight w:val="white"/>
        </w:rPr>
        <w:t xml:space="preserve"> </w:t>
      </w:r>
      <w:r>
        <w:rPr>
          <w:rFonts w:ascii="Arial" w:hAnsi="Arial" w:cs="Arial" w:eastAsiaTheme="minorHAnsi"/>
          <w:sz w:val="24"/>
          <w:szCs w:val="24"/>
          <w:highlight w:val="white"/>
          <w:lang w:eastAsia="en-US"/>
        </w:rPr>
        <w:t xml:space="preserve">контроле на территории </w:t>
      </w:r>
      <w:r>
        <w:rPr>
          <w:rFonts w:ascii="Arial" w:hAnsi="Arial" w:cs="Arial" w:eastAsiaTheme="minorHAnsi"/>
          <w:sz w:val="24"/>
          <w:szCs w:val="24"/>
          <w:highlight w:val="white"/>
          <w:lang w:eastAsia="en-US"/>
        </w:rPr>
        <w:t xml:space="preserve">городского</w:t>
      </w:r>
      <w:r>
        <w:rPr>
          <w:rFonts w:ascii="Arial" w:hAnsi="Arial" w:cs="Arial" w:eastAsiaTheme="minorHAnsi"/>
          <w:sz w:val="24"/>
          <w:szCs w:val="24"/>
          <w:highlight w:val="white"/>
        </w:rPr>
        <w:t xml:space="preserve"> </w:t>
      </w:r>
      <w:r>
        <w:rPr>
          <w:rFonts w:ascii="Arial" w:hAnsi="Arial" w:cs="Arial" w:eastAsiaTheme="minorHAnsi"/>
          <w:sz w:val="24"/>
          <w:szCs w:val="24"/>
          <w:highlight w:val="white"/>
          <w:lang w:eastAsia="en-US"/>
        </w:rPr>
        <w:t xml:space="preserve">округа город Шарья Костромской области</w:t>
      </w:r>
      <w:r>
        <w:rPr>
          <w:rFonts w:ascii="Arial" w:hAnsi="Arial" w:cs="Arial" w:eastAsiaTheme="minorHAnsi"/>
          <w:sz w:val="24"/>
          <w:szCs w:val="24"/>
          <w:highlight w:val="white"/>
        </w:rPr>
      </w:r>
      <w:r>
        <w:rPr>
          <w:rFonts w:ascii="Arial" w:hAnsi="Arial" w:cs="Arial" w:eastAsiaTheme="minorHAnsi"/>
          <w:sz w:val="24"/>
          <w:szCs w:val="24"/>
          <w:highlight w:val="white"/>
        </w:rPr>
      </w:r>
    </w:p>
    <w:p>
      <w:pPr>
        <w:pBdr/>
        <w:spacing/>
        <w:ind/>
        <w:jc w:val="both"/>
        <w:rPr>
          <w:rFonts w:ascii="Arial" w:hAnsi="Arial" w:cs="Arial" w:eastAsiaTheme="minorHAnsi"/>
          <w:sz w:val="24"/>
          <w:szCs w:val="24"/>
          <w:highlight w:val="white"/>
        </w:rPr>
      </w:pPr>
      <w:r>
        <w:rPr>
          <w:rFonts w:ascii="Arial" w:hAnsi="Arial" w:cs="Arial" w:eastAsiaTheme="minorHAnsi"/>
          <w:sz w:val="24"/>
          <w:szCs w:val="24"/>
          <w:highlight w:val="white"/>
        </w:rPr>
      </w:r>
      <w:r>
        <w:rPr>
          <w:rFonts w:ascii="Arial" w:hAnsi="Arial" w:cs="Arial" w:eastAsiaTheme="minorHAnsi"/>
          <w:sz w:val="24"/>
          <w:szCs w:val="24"/>
          <w:highlight w:val="white"/>
        </w:rPr>
      </w:r>
      <w:r>
        <w:rPr>
          <w:rFonts w:ascii="Arial" w:hAnsi="Arial" w:cs="Arial" w:eastAsiaTheme="minorHAnsi"/>
          <w:sz w:val="24"/>
          <w:szCs w:val="24"/>
          <w:highlight w:val="white"/>
        </w:rPr>
      </w:r>
    </w:p>
    <w:p>
      <w:pPr>
        <w:pBdr/>
        <w:spacing/>
        <w:ind/>
        <w:jc w:val="both"/>
        <w:rPr>
          <w:rFonts w:ascii="Arial" w:hAnsi="Arial" w:cs="Arial" w:eastAsiaTheme="minorHAnsi"/>
          <w:sz w:val="24"/>
          <w:szCs w:val="24"/>
          <w:highlight w:val="white"/>
        </w:rPr>
      </w:pPr>
      <w:r>
        <w:rPr>
          <w:rFonts w:ascii="Arial" w:hAnsi="Arial" w:cs="Arial" w:eastAsiaTheme="minorHAnsi"/>
          <w:sz w:val="24"/>
          <w:szCs w:val="24"/>
          <w:highlight w:val="white"/>
        </w:rPr>
      </w:r>
      <w:r>
        <w:rPr>
          <w:rFonts w:ascii="Arial" w:hAnsi="Arial" w:cs="Arial" w:eastAsiaTheme="minorHAnsi"/>
          <w:sz w:val="24"/>
          <w:szCs w:val="24"/>
          <w:highlight w:val="white"/>
        </w:rPr>
      </w:r>
      <w:r>
        <w:rPr>
          <w:rFonts w:ascii="Arial" w:hAnsi="Arial" w:cs="Arial" w:eastAsiaTheme="minorHAnsi"/>
          <w:sz w:val="24"/>
          <w:szCs w:val="24"/>
          <w:highlight w:val="white"/>
        </w:rPr>
      </w:r>
    </w:p>
    <w:p>
      <w:pPr>
        <w:pBdr/>
        <w:spacing/>
        <w:ind/>
        <w:jc w:val="center"/>
        <w:rPr>
          <w:rFonts w:ascii="Arial" w:hAnsi="Arial" w:cs="Arial" w:eastAsiaTheme="minorHAnsi"/>
          <w:b/>
          <w:bCs/>
          <w:sz w:val="24"/>
          <w:szCs w:val="24"/>
          <w:highlight w:val="white"/>
        </w:rPr>
      </w:pPr>
      <w:r>
        <w:rPr>
          <w:sz w:val="24"/>
          <w:szCs w:val="24"/>
        </w:rPr>
      </w:r>
      <w:bookmarkStart w:id="0" w:name="_GoBack"/>
      <w:r>
        <w:rPr>
          <w:sz w:val="24"/>
          <w:szCs w:val="24"/>
        </w:rPr>
      </w:r>
      <w:bookmarkEnd w:id="0"/>
      <w:r>
        <w:rPr>
          <w:rFonts w:ascii="Arial" w:hAnsi="Arial" w:cs="Arial" w:eastAsiaTheme="minorHAnsi"/>
          <w:b/>
          <w:bCs/>
          <w:sz w:val="24"/>
          <w:szCs w:val="24"/>
          <w:highlight w:val="white"/>
          <w:lang w:eastAsia="en-US"/>
        </w:rPr>
        <w:t xml:space="preserve">КРИТЕРИИ</w:t>
      </w:r>
      <w:r>
        <w:rPr>
          <w:rFonts w:ascii="Arial" w:hAnsi="Arial" w:cs="Arial" w:eastAsiaTheme="minorHAnsi"/>
          <w:b/>
          <w:bCs/>
          <w:sz w:val="24"/>
          <w:szCs w:val="24"/>
          <w:highlight w:val="white"/>
        </w:rPr>
      </w:r>
      <w:r>
        <w:rPr>
          <w:rFonts w:ascii="Arial" w:hAnsi="Arial" w:cs="Arial" w:eastAsiaTheme="minorHAnsi"/>
          <w:b/>
          <w:bCs/>
          <w:sz w:val="24"/>
          <w:szCs w:val="24"/>
          <w:highlight w:val="white"/>
        </w:rPr>
      </w:r>
    </w:p>
    <w:p>
      <w:pPr>
        <w:pBdr/>
        <w:spacing/>
        <w:ind/>
        <w:jc w:val="center"/>
        <w:rPr>
          <w:rFonts w:ascii="Arial" w:hAnsi="Arial" w:cs="Arial" w:eastAsiaTheme="minorHAnsi"/>
          <w:b/>
          <w:bCs/>
          <w:sz w:val="24"/>
          <w:szCs w:val="24"/>
          <w:highlight w:val="white"/>
        </w:rPr>
      </w:pPr>
      <w:r>
        <w:rPr>
          <w:rFonts w:ascii="Arial" w:hAnsi="Arial" w:cs="Arial" w:eastAsiaTheme="minorHAnsi"/>
          <w:b/>
          <w:bCs/>
          <w:sz w:val="24"/>
          <w:szCs w:val="24"/>
          <w:highlight w:val="white"/>
          <w:lang w:eastAsia="en-US"/>
        </w:rPr>
        <w:t xml:space="preserve">ОТНЕСЕНИЯ ОБЪЕКТОВ МУНИЦИПАЛЬНОГО ЖИЛИЩНОГО КОНТРОЛЯ</w:t>
      </w:r>
      <w:r>
        <w:rPr>
          <w:rFonts w:ascii="Arial" w:hAnsi="Arial" w:cs="Arial" w:eastAsiaTheme="minorHAnsi"/>
          <w:b/>
          <w:bCs/>
          <w:sz w:val="24"/>
          <w:szCs w:val="24"/>
          <w:highlight w:val="white"/>
        </w:rPr>
      </w:r>
      <w:r>
        <w:rPr>
          <w:rFonts w:ascii="Arial" w:hAnsi="Arial" w:cs="Arial" w:eastAsiaTheme="minorHAnsi"/>
          <w:b/>
          <w:bCs/>
          <w:sz w:val="24"/>
          <w:szCs w:val="24"/>
          <w:highlight w:val="white"/>
        </w:rPr>
      </w:r>
    </w:p>
    <w:p>
      <w:pPr>
        <w:pBdr/>
        <w:spacing/>
        <w:ind/>
        <w:jc w:val="center"/>
        <w:rPr>
          <w:rFonts w:ascii="Arial" w:hAnsi="Arial" w:cs="Arial" w:eastAsiaTheme="minorHAnsi"/>
          <w:b/>
          <w:bCs/>
          <w:sz w:val="24"/>
          <w:szCs w:val="24"/>
          <w:highlight w:val="white"/>
        </w:rPr>
      </w:pPr>
      <w:r>
        <w:rPr>
          <w:rFonts w:ascii="Arial" w:hAnsi="Arial" w:cs="Arial" w:eastAsiaTheme="minorHAnsi"/>
          <w:b/>
          <w:bCs/>
          <w:sz w:val="24"/>
          <w:szCs w:val="24"/>
          <w:highlight w:val="white"/>
          <w:lang w:eastAsia="en-US"/>
        </w:rPr>
        <w:t xml:space="preserve">К КАТЕГОРИЯМ РИСКА ПРИЧИНЕНИЯ ВРЕДА (УЩЕРБА) В РАМКАХ</w:t>
      </w:r>
      <w:r>
        <w:rPr>
          <w:rFonts w:ascii="Arial" w:hAnsi="Arial" w:cs="Arial" w:eastAsiaTheme="minorHAnsi"/>
          <w:b/>
          <w:bCs/>
          <w:sz w:val="24"/>
          <w:szCs w:val="24"/>
          <w:highlight w:val="white"/>
        </w:rPr>
      </w:r>
      <w:r>
        <w:rPr>
          <w:rFonts w:ascii="Arial" w:hAnsi="Arial" w:cs="Arial" w:eastAsiaTheme="minorHAnsi"/>
          <w:b/>
          <w:bCs/>
          <w:sz w:val="24"/>
          <w:szCs w:val="24"/>
          <w:highlight w:val="white"/>
        </w:rPr>
      </w:r>
    </w:p>
    <w:p>
      <w:pPr>
        <w:pBdr/>
        <w:spacing/>
        <w:ind/>
        <w:jc w:val="center"/>
        <w:rPr>
          <w:rFonts w:ascii="Arial" w:hAnsi="Arial" w:cs="Arial" w:eastAsiaTheme="minorHAnsi"/>
          <w:b/>
          <w:bCs/>
          <w:sz w:val="24"/>
          <w:szCs w:val="24"/>
          <w:highlight w:val="white"/>
        </w:rPr>
      </w:pPr>
      <w:r>
        <w:rPr>
          <w:rFonts w:ascii="Arial" w:hAnsi="Arial" w:cs="Arial" w:eastAsiaTheme="minorHAnsi"/>
          <w:b/>
          <w:bCs/>
          <w:sz w:val="24"/>
          <w:szCs w:val="24"/>
          <w:highlight w:val="white"/>
          <w:lang w:eastAsia="en-US"/>
        </w:rPr>
        <w:t xml:space="preserve">ОСУЩЕСТВЛЕНИЯ МУНИЦИПАЛЬНОГО ЖИЛИЩНОГО КОНТРОЛЯ</w:t>
      </w:r>
      <w:r>
        <w:rPr>
          <w:rFonts w:ascii="Arial" w:hAnsi="Arial" w:cs="Arial" w:eastAsiaTheme="minorHAnsi"/>
          <w:b/>
          <w:bCs/>
          <w:sz w:val="24"/>
          <w:szCs w:val="24"/>
          <w:highlight w:val="white"/>
        </w:rPr>
      </w:r>
      <w:r>
        <w:rPr>
          <w:rFonts w:ascii="Arial" w:hAnsi="Arial" w:cs="Arial" w:eastAsiaTheme="minorHAnsi"/>
          <w:b/>
          <w:bCs/>
          <w:sz w:val="24"/>
          <w:szCs w:val="24"/>
          <w:highlight w:val="white"/>
        </w:rPr>
      </w:r>
    </w:p>
    <w:p>
      <w:pPr>
        <w:pBdr/>
        <w:spacing/>
        <w:ind/>
        <w:jc w:val="both"/>
        <w:rPr>
          <w:rFonts w:ascii="Arial" w:hAnsi="Arial" w:cs="Arial" w:eastAsiaTheme="minorHAnsi"/>
          <w:sz w:val="24"/>
          <w:szCs w:val="24"/>
          <w:highlight w:val="white"/>
        </w:rPr>
      </w:pPr>
      <w:r>
        <w:rPr>
          <w:rFonts w:ascii="Arial" w:hAnsi="Arial" w:cs="Arial" w:eastAsiaTheme="minorHAnsi"/>
          <w:sz w:val="24"/>
          <w:szCs w:val="24"/>
          <w:highlight w:val="white"/>
        </w:rPr>
      </w:r>
      <w:r>
        <w:rPr>
          <w:rFonts w:ascii="Arial" w:hAnsi="Arial" w:cs="Arial" w:eastAsiaTheme="minorHAnsi"/>
          <w:sz w:val="24"/>
          <w:szCs w:val="24"/>
          <w:highlight w:val="white"/>
        </w:rPr>
      </w:r>
      <w:r>
        <w:rPr>
          <w:rFonts w:ascii="Arial" w:hAnsi="Arial" w:cs="Arial" w:eastAsiaTheme="minorHAnsi"/>
          <w:sz w:val="24"/>
          <w:szCs w:val="24"/>
          <w:highlight w:val="white"/>
        </w:rPr>
      </w:r>
    </w:p>
    <w:p>
      <w:pPr>
        <w:pBdr/>
        <w:spacing/>
        <w:ind w:firstLine="708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cs="Arial"/>
          <w:sz w:val="24"/>
          <w:szCs w:val="24"/>
          <w:highlight w:val="white"/>
        </w:rPr>
        <w:t xml:space="preserve">По тяжести и масштабу потенциальных негативных последствий несоблюдения юридическими лицами и индивидуальными предпринимателями обязательных требований, </w:t>
      </w:r>
      <w:r>
        <w:rPr>
          <w:rFonts w:ascii="Arial" w:hAnsi="Arial" w:cs="Arial"/>
          <w:sz w:val="24"/>
          <w:szCs w:val="24"/>
          <w:highlight w:val="white"/>
        </w:rPr>
        <w:t xml:space="preserve">установленных жилищным законодательством Российской Федерации, законодательством Российской Федерации об энергосбережении и о повышении энергетической эффективности в отношении муниципального жилищного фонда, деятельность контролируемых лиц, подлежащая мун</w:t>
      </w:r>
      <w:r>
        <w:rPr>
          <w:rFonts w:ascii="Arial" w:hAnsi="Arial" w:cs="Arial"/>
          <w:sz w:val="24"/>
          <w:szCs w:val="24"/>
          <w:highlight w:val="white"/>
        </w:rPr>
        <w:t xml:space="preserve">иципальному жилищному контролю, разделяется на группу тяжести «А» или «Б» (далее – группа тяжести).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pacing/>
        <w:ind w:firstLine="708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cs="Arial"/>
          <w:sz w:val="24"/>
          <w:szCs w:val="24"/>
          <w:highlight w:val="white"/>
        </w:rPr>
        <w:t xml:space="preserve">К группе тяжести «А» относится деятельность юридических лиц и индивидуальных предпринимателей по управлению многоквартирными домами, оказанию услуг и (или) </w:t>
      </w:r>
      <w:r>
        <w:rPr>
          <w:rFonts w:ascii="Arial" w:hAnsi="Arial" w:cs="Arial"/>
          <w:sz w:val="24"/>
          <w:szCs w:val="24"/>
          <w:highlight w:val="white"/>
        </w:rPr>
        <w:t xml:space="preserve">выполнению работ по содержанию и ремонту общего имущества в многоквартирных домах в отношении многоквартирных домов, оборудованных лифтами и (или) централизованной системой газоснабжения, в том числе многоквартирных домов, в которых для производства услуг </w:t>
      </w:r>
      <w:r>
        <w:rPr>
          <w:rFonts w:ascii="Arial" w:hAnsi="Arial" w:cs="Arial"/>
          <w:sz w:val="24"/>
          <w:szCs w:val="24"/>
          <w:highlight w:val="white"/>
        </w:rPr>
        <w:t xml:space="preserve">по горячему водоснабжению и (или) теплоснабжению используется газ.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pacing/>
        <w:ind w:firstLine="708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cs="Arial"/>
          <w:sz w:val="24"/>
          <w:szCs w:val="24"/>
          <w:highlight w:val="white"/>
        </w:rPr>
        <w:t xml:space="preserve">В иных случаях деятельность контролируемых лиц относится к группе тяжести «Б».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pacing/>
        <w:ind w:firstLine="708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cs="Arial"/>
          <w:sz w:val="24"/>
          <w:szCs w:val="24"/>
          <w:highlight w:val="white"/>
        </w:rPr>
        <w:t xml:space="preserve">С учетом оценки вероятности несоблюдения контролируемыми лицами обязательных требований, указанных в абзаце пе</w:t>
      </w:r>
      <w:r>
        <w:rPr>
          <w:rFonts w:ascii="Arial" w:hAnsi="Arial" w:cs="Arial"/>
          <w:sz w:val="24"/>
          <w:szCs w:val="24"/>
          <w:highlight w:val="white"/>
        </w:rPr>
        <w:t xml:space="preserve">рвом настоящего приложения, деятельность, подлежащая муниципальному контролю, разделяется на группу вероятности «1» или «2» (далее – группа вероятности).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pacing/>
        <w:ind w:firstLine="708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cs="Arial"/>
          <w:sz w:val="24"/>
          <w:szCs w:val="24"/>
          <w:highlight w:val="white"/>
        </w:rPr>
        <w:t xml:space="preserve">К группе вероятности «1» относится деятельность контролируемых лиц при наличии вступившего в законную </w:t>
      </w:r>
      <w:r>
        <w:rPr>
          <w:rFonts w:ascii="Arial" w:hAnsi="Arial" w:cs="Arial"/>
          <w:sz w:val="24"/>
          <w:szCs w:val="24"/>
          <w:highlight w:val="white"/>
        </w:rPr>
        <w:t xml:space="preserve">силу в течение последних трёх лет на дату принятия решения об отнесении деятельности юридического лица или индивидуального предпринимателя к категории риска причинения вреда (ущерба) охраняемым законом  ценностям постановления о назначении административног</w:t>
      </w:r>
      <w:r>
        <w:rPr>
          <w:rFonts w:ascii="Arial" w:hAnsi="Arial" w:cs="Arial"/>
          <w:sz w:val="24"/>
          <w:szCs w:val="24"/>
          <w:highlight w:val="white"/>
        </w:rPr>
        <w:t xml:space="preserve">о наказания юридическому лицу, его должностным лицам или индивидуальному предпринимателю за совершение административного правонарушения, предусмотренного статьями 7.21</w:t>
      </w:r>
      <w:r>
        <w:rPr>
          <w:rFonts w:ascii="Arial" w:hAnsi="Arial" w:cs="Arial"/>
          <w:sz w:val="24"/>
          <w:szCs w:val="24"/>
          <w:highlight w:val="white"/>
        </w:rPr>
        <w:t xml:space="preserve">-</w:t>
      </w:r>
      <w:r>
        <w:rPr>
          <w:rFonts w:ascii="Arial" w:hAnsi="Arial" w:cs="Arial"/>
          <w:sz w:val="24"/>
          <w:szCs w:val="24"/>
          <w:highlight w:val="white"/>
        </w:rPr>
        <w:t xml:space="preserve">7.23, частью 1 статьи 7.23.2, статьями 7.23.3, 9.5.1, статьей 9.13 (в части уклонения от</w:t>
      </w:r>
      <w:r>
        <w:rPr>
          <w:rFonts w:ascii="Arial" w:hAnsi="Arial" w:cs="Arial"/>
          <w:sz w:val="24"/>
          <w:szCs w:val="24"/>
          <w:highlight w:val="white"/>
        </w:rPr>
        <w:t xml:space="preserve"> исполнения требований к обеспечению доступности для инвалидов объектов жилищного фонда), частями 4, 5 и частью 12 (в части коллективных (общедомовых), индивидуальных и общих (для коммунальных квартир) приборов учета используемых энергетических ресурсов в </w:t>
      </w:r>
      <w:r>
        <w:rPr>
          <w:rFonts w:ascii="Arial" w:hAnsi="Arial" w:cs="Arial"/>
          <w:sz w:val="24"/>
          <w:szCs w:val="24"/>
          <w:highlight w:val="white"/>
        </w:rPr>
        <w:t xml:space="preserve">многоквартирных домах, жилых домах) статьи 9.16, частями 1-4 статьи 9.23, частью 1 статьи 13.19.2</w:t>
      </w:r>
      <w:r>
        <w:rPr>
          <w:rFonts w:ascii="Arial" w:hAnsi="Arial" w:cs="Arial"/>
          <w:sz w:val="24"/>
          <w:szCs w:val="24"/>
          <w:highlight w:val="white"/>
        </w:rPr>
        <w:t xml:space="preserve"> (за исключением административных правонарушений, совершенных жилищно-строительными кооперативами, осуществляющими строительство многоквартирных домов) Кодекса</w:t>
      </w:r>
      <w:r>
        <w:rPr>
          <w:rFonts w:ascii="Arial" w:hAnsi="Arial" w:cs="Arial"/>
          <w:sz w:val="24"/>
          <w:szCs w:val="24"/>
          <w:highlight w:val="white"/>
        </w:rPr>
        <w:t xml:space="preserve"> Российской Федерации об административных правонарушениях.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pacing/>
        <w:ind w:firstLine="708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cs="Arial"/>
          <w:sz w:val="24"/>
          <w:szCs w:val="24"/>
          <w:highlight w:val="white"/>
        </w:rPr>
        <w:t xml:space="preserve">К группе вероятности «2» относится деятельность контролируемых лиц, у которых в течение последних трёх лет при проведении внепланового контрольного мероприятия не были выявлены нарушения обязательн</w:t>
      </w:r>
      <w:r>
        <w:rPr>
          <w:rFonts w:ascii="Arial" w:hAnsi="Arial" w:cs="Arial"/>
          <w:sz w:val="24"/>
          <w:szCs w:val="24"/>
          <w:highlight w:val="white"/>
        </w:rPr>
        <w:t xml:space="preserve">ых требований, указанных в абзаце первом настоящего приложения.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pacing/>
        <w:ind w:firstLine="708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cs="Arial"/>
          <w:sz w:val="24"/>
          <w:szCs w:val="24"/>
          <w:highlight w:val="white"/>
        </w:rPr>
        <w:t xml:space="preserve">Отнесение деятельности контролируемого лица к определенной категории риска основывается на соотнесении группы тяжести и группы вероятности.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pacing/>
        <w:ind w:firstLine="708"/>
        <w:jc w:val="center"/>
        <w:rPr>
          <w:rFonts w:ascii="Arial" w:hAnsi="Arial" w:cs="Arial"/>
          <w:b/>
          <w:sz w:val="24"/>
          <w:szCs w:val="24"/>
          <w:highlight w:val="white"/>
        </w:rPr>
      </w:pPr>
      <w:r>
        <w:rPr>
          <w:rFonts w:ascii="Arial" w:hAnsi="Arial" w:cs="Arial"/>
          <w:b/>
          <w:sz w:val="24"/>
          <w:szCs w:val="24"/>
          <w:highlight w:val="white"/>
        </w:rPr>
      </w:r>
      <w:r>
        <w:rPr>
          <w:rFonts w:ascii="Arial" w:hAnsi="Arial" w:cs="Arial"/>
          <w:b/>
          <w:sz w:val="24"/>
          <w:szCs w:val="24"/>
          <w:highlight w:val="white"/>
        </w:rPr>
      </w:r>
      <w:r>
        <w:rPr>
          <w:rFonts w:ascii="Arial" w:hAnsi="Arial" w:cs="Arial"/>
          <w:b/>
          <w:sz w:val="24"/>
          <w:szCs w:val="24"/>
          <w:highlight w:val="white"/>
        </w:rPr>
      </w:r>
    </w:p>
    <w:tbl>
      <w:tblPr>
        <w:tblW w:w="0" w:type="auto"/>
        <w:tblBorders/>
        <w:tblLook w:val="04A0" w:firstRow="1" w:lastRow="0" w:firstColumn="1" w:lastColumn="0" w:noHBand="0" w:noVBand="1"/>
        <w:tblStyle w:val="959"/>
      </w:tblPr>
      <w:tblGrid>
        <w:gridCol w:w="3332"/>
        <w:gridCol w:w="3332"/>
        <w:gridCol w:w="3332"/>
      </w:tblGrid>
      <w:tr>
        <w:trPr/>
        <w:tc>
          <w:tcPr>
            <w:tcBorders/>
            <w:tcW w:w="333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Arial" w:hAnsi="Arial" w:cs="Arial"/>
                <w:b/>
                <w:sz w:val="24"/>
                <w:szCs w:val="24"/>
                <w:highlight w:val="white"/>
              </w:rPr>
            </w:pPr>
            <w:r>
              <w:rPr>
                <w:rFonts w:ascii="Arial" w:hAnsi="Arial" w:cs="Arial"/>
                <w:b/>
                <w:sz w:val="24"/>
                <w:szCs w:val="24"/>
                <w:highlight w:val="white"/>
              </w:rPr>
              <w:t xml:space="preserve">Категория риска</w:t>
            </w:r>
            <w:r>
              <w:rPr>
                <w:rFonts w:ascii="Arial" w:hAnsi="Arial" w:cs="Arial"/>
                <w:b/>
                <w:sz w:val="24"/>
                <w:szCs w:val="24"/>
                <w:highlight w:val="white"/>
              </w:rPr>
            </w:r>
            <w:r>
              <w:rPr>
                <w:rFonts w:ascii="Arial" w:hAnsi="Arial" w:cs="Arial"/>
                <w:b/>
                <w:sz w:val="24"/>
                <w:szCs w:val="24"/>
                <w:highlight w:val="white"/>
              </w:rPr>
            </w:r>
          </w:p>
        </w:tc>
        <w:tc>
          <w:tcPr>
            <w:tcBorders/>
            <w:tcW w:w="333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Arial" w:hAnsi="Arial" w:cs="Arial"/>
                <w:b/>
                <w:sz w:val="24"/>
                <w:szCs w:val="24"/>
                <w:highlight w:val="white"/>
              </w:rPr>
            </w:pPr>
            <w:r>
              <w:rPr>
                <w:rFonts w:ascii="Arial" w:hAnsi="Arial" w:cs="Arial"/>
                <w:b/>
                <w:sz w:val="24"/>
                <w:szCs w:val="24"/>
                <w:highlight w:val="white"/>
              </w:rPr>
              <w:t xml:space="preserve">Группа тяжести</w:t>
            </w:r>
            <w:r>
              <w:rPr>
                <w:rFonts w:ascii="Arial" w:hAnsi="Arial" w:cs="Arial"/>
                <w:b/>
                <w:sz w:val="24"/>
                <w:szCs w:val="24"/>
                <w:highlight w:val="white"/>
              </w:rPr>
            </w:r>
            <w:r>
              <w:rPr>
                <w:rFonts w:ascii="Arial" w:hAnsi="Arial" w:cs="Arial"/>
                <w:b/>
                <w:sz w:val="24"/>
                <w:szCs w:val="24"/>
                <w:highlight w:val="white"/>
              </w:rPr>
            </w:r>
          </w:p>
        </w:tc>
        <w:tc>
          <w:tcPr>
            <w:tcBorders/>
            <w:tcW w:w="333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Arial" w:hAnsi="Arial" w:cs="Arial"/>
                <w:b/>
                <w:sz w:val="24"/>
                <w:szCs w:val="24"/>
                <w:highlight w:val="white"/>
              </w:rPr>
            </w:pPr>
            <w:r>
              <w:rPr>
                <w:rFonts w:ascii="Arial" w:hAnsi="Arial" w:cs="Arial"/>
                <w:b/>
                <w:sz w:val="24"/>
                <w:szCs w:val="24"/>
                <w:highlight w:val="white"/>
              </w:rPr>
              <w:t xml:space="preserve">Группа вероятности</w:t>
            </w:r>
            <w:r>
              <w:rPr>
                <w:rFonts w:ascii="Arial" w:hAnsi="Arial" w:cs="Arial"/>
                <w:b/>
                <w:sz w:val="24"/>
                <w:szCs w:val="24"/>
                <w:highlight w:val="white"/>
              </w:rPr>
            </w:r>
            <w:r>
              <w:rPr>
                <w:rFonts w:ascii="Arial" w:hAnsi="Arial" w:cs="Arial"/>
                <w:b/>
                <w:sz w:val="24"/>
                <w:szCs w:val="24"/>
                <w:highlight w:val="white"/>
              </w:rPr>
            </w:r>
          </w:p>
        </w:tc>
      </w:tr>
      <w:tr>
        <w:trPr/>
        <w:tc>
          <w:tcPr>
            <w:tcBorders/>
            <w:tcW w:w="333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cs="Arial"/>
                <w:sz w:val="24"/>
                <w:szCs w:val="24"/>
                <w:highlight w:val="white"/>
              </w:rPr>
              <w:t xml:space="preserve">Высокий</w:t>
            </w:r>
            <w:r>
              <w:rPr>
                <w:rFonts w:ascii="Arial" w:hAnsi="Arial" w:cs="Arial"/>
                <w:sz w:val="24"/>
                <w:szCs w:val="24"/>
                <w:highlight w:val="white"/>
              </w:rPr>
            </w:r>
            <w:r>
              <w:rPr>
                <w:rFonts w:ascii="Arial" w:hAnsi="Arial" w:cs="Arial"/>
                <w:sz w:val="24"/>
                <w:szCs w:val="24"/>
                <w:highlight w:val="white"/>
              </w:rPr>
            </w:r>
          </w:p>
        </w:tc>
        <w:tc>
          <w:tcPr>
            <w:tcBorders/>
            <w:tcW w:w="333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cs="Arial"/>
                <w:sz w:val="24"/>
                <w:szCs w:val="24"/>
                <w:highlight w:val="white"/>
              </w:rPr>
              <w:t xml:space="preserve">А</w:t>
            </w:r>
            <w:r>
              <w:rPr>
                <w:rFonts w:ascii="Arial" w:hAnsi="Arial" w:cs="Arial"/>
                <w:sz w:val="24"/>
                <w:szCs w:val="24"/>
                <w:highlight w:val="white"/>
              </w:rPr>
            </w:r>
            <w:r>
              <w:rPr>
                <w:rFonts w:ascii="Arial" w:hAnsi="Arial" w:cs="Arial"/>
                <w:sz w:val="24"/>
                <w:szCs w:val="24"/>
                <w:highlight w:val="white"/>
              </w:rPr>
            </w:r>
          </w:p>
        </w:tc>
        <w:tc>
          <w:tcPr>
            <w:tcBorders/>
            <w:tcW w:w="333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cs="Arial"/>
                <w:sz w:val="24"/>
                <w:szCs w:val="24"/>
                <w:highlight w:val="white"/>
              </w:rPr>
              <w:t xml:space="preserve">1</w:t>
            </w:r>
            <w:r>
              <w:rPr>
                <w:rFonts w:ascii="Arial" w:hAnsi="Arial" w:cs="Arial"/>
                <w:sz w:val="24"/>
                <w:szCs w:val="24"/>
                <w:highlight w:val="white"/>
              </w:rPr>
            </w:r>
            <w:r>
              <w:rPr>
                <w:rFonts w:ascii="Arial" w:hAnsi="Arial" w:cs="Arial"/>
                <w:sz w:val="24"/>
                <w:szCs w:val="24"/>
                <w:highlight w:val="white"/>
              </w:rPr>
            </w:r>
          </w:p>
        </w:tc>
      </w:tr>
      <w:tr>
        <w:trPr/>
        <w:tc>
          <w:tcPr>
            <w:tcBorders/>
            <w:tcW w:w="333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cs="Arial"/>
                <w:sz w:val="24"/>
                <w:szCs w:val="24"/>
                <w:highlight w:val="white"/>
              </w:rPr>
              <w:t xml:space="preserve">Средний</w:t>
            </w:r>
            <w:r>
              <w:rPr>
                <w:rFonts w:ascii="Arial" w:hAnsi="Arial" w:cs="Arial"/>
                <w:sz w:val="24"/>
                <w:szCs w:val="24"/>
                <w:highlight w:val="white"/>
              </w:rPr>
            </w:r>
            <w:r>
              <w:rPr>
                <w:rFonts w:ascii="Arial" w:hAnsi="Arial" w:cs="Arial"/>
                <w:sz w:val="24"/>
                <w:szCs w:val="24"/>
                <w:highlight w:val="white"/>
              </w:rPr>
            </w:r>
          </w:p>
        </w:tc>
        <w:tc>
          <w:tcPr>
            <w:tcBorders/>
            <w:tcW w:w="333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cs="Arial"/>
                <w:sz w:val="24"/>
                <w:szCs w:val="24"/>
                <w:highlight w:val="white"/>
              </w:rPr>
              <w:t xml:space="preserve">А</w:t>
            </w:r>
            <w:r>
              <w:rPr>
                <w:rFonts w:ascii="Arial" w:hAnsi="Arial" w:cs="Arial"/>
                <w:sz w:val="24"/>
                <w:szCs w:val="24"/>
                <w:highlight w:val="white"/>
              </w:rPr>
            </w:r>
            <w:r>
              <w:rPr>
                <w:rFonts w:ascii="Arial" w:hAnsi="Arial" w:cs="Arial"/>
                <w:sz w:val="24"/>
                <w:szCs w:val="24"/>
                <w:highlight w:val="white"/>
              </w:rPr>
            </w:r>
          </w:p>
        </w:tc>
        <w:tc>
          <w:tcPr>
            <w:tcBorders/>
            <w:tcW w:w="333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cs="Arial"/>
                <w:sz w:val="24"/>
                <w:szCs w:val="24"/>
                <w:highlight w:val="white"/>
              </w:rPr>
              <w:t xml:space="preserve">2</w:t>
            </w:r>
            <w:r>
              <w:rPr>
                <w:rFonts w:ascii="Arial" w:hAnsi="Arial" w:cs="Arial"/>
                <w:sz w:val="24"/>
                <w:szCs w:val="24"/>
                <w:highlight w:val="white"/>
              </w:rPr>
            </w:r>
            <w:r>
              <w:rPr>
                <w:rFonts w:ascii="Arial" w:hAnsi="Arial" w:cs="Arial"/>
                <w:sz w:val="24"/>
                <w:szCs w:val="24"/>
                <w:highlight w:val="white"/>
              </w:rPr>
            </w:r>
          </w:p>
        </w:tc>
      </w:tr>
      <w:tr>
        <w:trPr/>
        <w:tc>
          <w:tcPr>
            <w:tcBorders/>
            <w:tcW w:w="333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cs="Arial"/>
                <w:sz w:val="24"/>
                <w:szCs w:val="24"/>
                <w:highlight w:val="white"/>
              </w:rPr>
              <w:t xml:space="preserve">Умеренный</w:t>
            </w:r>
            <w:r>
              <w:rPr>
                <w:rFonts w:ascii="Arial" w:hAnsi="Arial" w:cs="Arial"/>
                <w:sz w:val="24"/>
                <w:szCs w:val="24"/>
                <w:highlight w:val="white"/>
              </w:rPr>
            </w:r>
            <w:r>
              <w:rPr>
                <w:rFonts w:ascii="Arial" w:hAnsi="Arial" w:cs="Arial"/>
                <w:sz w:val="24"/>
                <w:szCs w:val="24"/>
                <w:highlight w:val="white"/>
              </w:rPr>
            </w:r>
          </w:p>
        </w:tc>
        <w:tc>
          <w:tcPr>
            <w:tcBorders/>
            <w:tcW w:w="333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cs="Arial"/>
                <w:sz w:val="24"/>
                <w:szCs w:val="24"/>
                <w:highlight w:val="white"/>
              </w:rPr>
              <w:t xml:space="preserve">Б</w:t>
            </w:r>
            <w:r>
              <w:rPr>
                <w:rFonts w:ascii="Arial" w:hAnsi="Arial" w:cs="Arial"/>
                <w:sz w:val="24"/>
                <w:szCs w:val="24"/>
                <w:highlight w:val="white"/>
              </w:rPr>
            </w:r>
            <w:r>
              <w:rPr>
                <w:rFonts w:ascii="Arial" w:hAnsi="Arial" w:cs="Arial"/>
                <w:sz w:val="24"/>
                <w:szCs w:val="24"/>
                <w:highlight w:val="white"/>
              </w:rPr>
            </w:r>
          </w:p>
        </w:tc>
        <w:tc>
          <w:tcPr>
            <w:tcBorders/>
            <w:tcW w:w="333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cs="Arial"/>
                <w:sz w:val="24"/>
                <w:szCs w:val="24"/>
                <w:highlight w:val="white"/>
              </w:rPr>
              <w:t xml:space="preserve">1</w:t>
            </w:r>
            <w:r>
              <w:rPr>
                <w:rFonts w:ascii="Arial" w:hAnsi="Arial" w:cs="Arial"/>
                <w:sz w:val="24"/>
                <w:szCs w:val="24"/>
                <w:highlight w:val="white"/>
              </w:rPr>
            </w:r>
            <w:r>
              <w:rPr>
                <w:rFonts w:ascii="Arial" w:hAnsi="Arial" w:cs="Arial"/>
                <w:sz w:val="24"/>
                <w:szCs w:val="24"/>
                <w:highlight w:val="white"/>
              </w:rPr>
            </w:r>
          </w:p>
        </w:tc>
      </w:tr>
      <w:tr>
        <w:trPr/>
        <w:tc>
          <w:tcPr>
            <w:tcBorders/>
            <w:tcW w:w="333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cs="Arial"/>
                <w:sz w:val="24"/>
                <w:szCs w:val="24"/>
                <w:highlight w:val="white"/>
              </w:rPr>
              <w:t xml:space="preserve">Низкий</w:t>
            </w:r>
            <w:r>
              <w:rPr>
                <w:rFonts w:ascii="Arial" w:hAnsi="Arial" w:cs="Arial"/>
                <w:sz w:val="24"/>
                <w:szCs w:val="24"/>
                <w:highlight w:val="white"/>
              </w:rPr>
            </w:r>
            <w:r>
              <w:rPr>
                <w:rFonts w:ascii="Arial" w:hAnsi="Arial" w:cs="Arial"/>
                <w:sz w:val="24"/>
                <w:szCs w:val="24"/>
                <w:highlight w:val="white"/>
              </w:rPr>
            </w:r>
          </w:p>
        </w:tc>
        <w:tc>
          <w:tcPr>
            <w:tcBorders/>
            <w:tcW w:w="333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cs="Arial"/>
                <w:sz w:val="24"/>
                <w:szCs w:val="24"/>
                <w:highlight w:val="white"/>
              </w:rPr>
              <w:t xml:space="preserve">Б</w:t>
            </w:r>
            <w:r>
              <w:rPr>
                <w:rFonts w:ascii="Arial" w:hAnsi="Arial" w:cs="Arial"/>
                <w:sz w:val="24"/>
                <w:szCs w:val="24"/>
                <w:highlight w:val="white"/>
              </w:rPr>
            </w:r>
            <w:r>
              <w:rPr>
                <w:rFonts w:ascii="Arial" w:hAnsi="Arial" w:cs="Arial"/>
                <w:sz w:val="24"/>
                <w:szCs w:val="24"/>
                <w:highlight w:val="white"/>
              </w:rPr>
            </w:r>
          </w:p>
        </w:tc>
        <w:tc>
          <w:tcPr>
            <w:tcBorders/>
            <w:tcW w:w="333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hAnsi="Arial" w:cs="Arial"/>
                <w:sz w:val="24"/>
                <w:szCs w:val="24"/>
                <w:highlight w:val="white"/>
              </w:rPr>
              <w:t xml:space="preserve">2</w:t>
            </w:r>
            <w:r>
              <w:rPr>
                <w:rFonts w:ascii="Arial" w:hAnsi="Arial" w:cs="Arial"/>
                <w:sz w:val="24"/>
                <w:szCs w:val="24"/>
                <w:highlight w:val="white"/>
              </w:rPr>
            </w:r>
            <w:r>
              <w:rPr>
                <w:rFonts w:ascii="Arial" w:hAnsi="Arial" w:cs="Arial"/>
                <w:sz w:val="24"/>
                <w:szCs w:val="24"/>
                <w:highlight w:val="white"/>
              </w:rPr>
            </w:r>
          </w:p>
        </w:tc>
      </w:tr>
    </w:tbl>
    <w:p>
      <w:pPr>
        <w:pBdr/>
        <w:spacing/>
        <w:ind w:firstLine="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sectPr>
      <w:headerReference w:type="default" r:id="rId9"/>
      <w:headerReference w:type="first" r:id="rId10"/>
      <w:footerReference w:type="first" r:id="rId11"/>
      <w:footnotePr/>
      <w:endnotePr/>
      <w:type w:val="nextPage"/>
      <w:pgSz w:h="16838" w:orient="portrait" w:w="11906"/>
      <w:pgMar w:top="1134" w:right="709" w:bottom="1134" w:left="1417" w:header="283" w:footer="0" w:gutter="0"/>
      <w:cols w:num="1" w:sep="0" w:space="708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Calibri">
    <w:panose1 w:val="020F050202020403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9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7"/>
      <w:pBdr/>
      <w:spacing/>
      <w:ind/>
      <w:jc w:val="center"/>
      <w:rPr/>
    </w:pPr>
    <w:fldSimple w:instr="PAGE \* MERGEFORMAT">
      <w:r>
        <w:t xml:space="preserve">1</w:t>
      </w:r>
    </w:fldSimple>
    <w:r/>
    <w:r/>
  </w:p>
  <w:p>
    <w:pPr>
      <w:pStyle w:val="967"/>
      <w:pBdr/>
      <w:spacing/>
      <w:ind/>
      <w:rPr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7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)"/>
      <w:numFmt w:val="decimal"/>
      <w:pPr>
        <w:pBdr/>
        <w:spacing/>
        <w:ind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">
    <w:lvl w:ilvl="0">
      <w:isLgl w:val="false"/>
      <w:lvlJc w:val="left"/>
      <w:lvlText w:val="%1)"/>
      <w:numFmt w:val="decimal"/>
      <w:pPr>
        <w:pBdr/>
        <w:spacing/>
        <w:ind w:hanging="360" w:left="1440"/>
      </w:pPr>
      <w:rPr>
        <w:rFonts w:hint="default"/>
      </w:rPr>
      <w:start w:val="5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216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88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60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32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504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76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48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7200"/>
      </w:pPr>
      <w:rPr/>
      <w:start w:val="1"/>
      <w:suff w:val="tab"/>
    </w:lvl>
  </w:abstractNum>
  <w:abstractNum w:abstractNumId="2"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3">
    <w:lvl w:ilvl="0">
      <w:isLgl w:val="false"/>
      <w:lvlJc w:val="left"/>
      <w:lvlText w:val="%1)"/>
      <w:numFmt w:val="decimal"/>
      <w:pPr>
        <w:pBdr/>
        <w:spacing/>
        <w:ind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4">
    <w:lvl w:ilvl="0">
      <w:isLgl w:val="false"/>
      <w:lvlJc w:val="left"/>
      <w:lvlText w:val="%1)"/>
      <w:numFmt w:val="decimal"/>
      <w:pPr>
        <w:pBdr/>
        <w:spacing/>
        <w:ind/>
      </w:pPr>
      <w:rPr>
        <w:rFonts w:ascii="Arial" w:hAnsi="Arial" w:eastAsia="Arial" w:cs="Arial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2"/>
        <w:u w:val="none"/>
        <w:shd w:val="clear" w:color="auto" w:fill="auto"/>
        <w:lang w:val="ru-RU" w:eastAsia="ru-RU" w:bidi="ru-RU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5">
    <w:lvl w:ilvl="0">
      <w:isLgl w:val="false"/>
      <w:lvlJc w:val="left"/>
      <w:lvlText w:val="%1)"/>
      <w:numFmt w:val="decimal"/>
      <w:pPr>
        <w:pBdr/>
        <w:spacing/>
        <w:ind w:hanging="360" w:left="1080"/>
      </w:pPr>
      <w:rPr>
        <w:rFonts w:hint="default"/>
        <w:sz w:val="24"/>
      </w:rPr>
      <w:start w:val="5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40"/>
      </w:pPr>
      <w:rPr/>
      <w:start w:val="1"/>
      <w:suff w:val="tab"/>
    </w:lvl>
  </w:abstractNum>
  <w:abstractNum w:abstractNumId="6">
    <w:lvl w:ilvl="0">
      <w:isLgl w:val="false"/>
      <w:lvlJc w:val="left"/>
      <w:lvlText w:val="%1)"/>
      <w:numFmt w:val="decimal"/>
      <w:pPr>
        <w:pBdr/>
        <w:spacing/>
        <w:ind w:hanging="360" w:left="1012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32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52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72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892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12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32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52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72"/>
      </w:pPr>
      <w:rPr/>
      <w:start w:val="1"/>
      <w:suff w:val="tab"/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51">
    <w:name w:val="Heading 1"/>
    <w:basedOn w:val="761"/>
    <w:next w:val="761"/>
    <w:link w:val="781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paragraph" w:styleId="752">
    <w:name w:val="Heading 2"/>
    <w:basedOn w:val="761"/>
    <w:next w:val="761"/>
    <w:link w:val="783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paragraph" w:styleId="753">
    <w:name w:val="Heading 3"/>
    <w:basedOn w:val="761"/>
    <w:next w:val="761"/>
    <w:link w:val="785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paragraph" w:styleId="754">
    <w:name w:val="Heading 4"/>
    <w:basedOn w:val="761"/>
    <w:next w:val="761"/>
    <w:link w:val="787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55">
    <w:name w:val="Heading 5"/>
    <w:basedOn w:val="761"/>
    <w:next w:val="761"/>
    <w:link w:val="789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56">
    <w:name w:val="Heading 6"/>
    <w:basedOn w:val="761"/>
    <w:next w:val="761"/>
    <w:link w:val="791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57">
    <w:name w:val="Heading 7"/>
    <w:basedOn w:val="761"/>
    <w:next w:val="761"/>
    <w:link w:val="793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58">
    <w:name w:val="Heading 8"/>
    <w:basedOn w:val="761"/>
    <w:next w:val="761"/>
    <w:link w:val="795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59">
    <w:name w:val="Heading 9"/>
    <w:basedOn w:val="761"/>
    <w:next w:val="761"/>
    <w:link w:val="797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paragraph" w:styleId="760">
    <w:name w:val="Caption"/>
    <w:basedOn w:val="761"/>
    <w:next w:val="761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paragraph" w:styleId="761" w:default="1">
    <w:name w:val="Normal"/>
    <w:qFormat/>
    <w:pPr>
      <w:pBdr/>
      <w:spacing w:after="0" w:line="240" w:lineRule="auto"/>
      <w:ind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62" w:default="1">
    <w:name w:val="Default Paragraph Font"/>
    <w:uiPriority w:val="1"/>
    <w:semiHidden/>
    <w:unhideWhenUsed/>
    <w:pPr>
      <w:pBdr/>
      <w:spacing/>
      <w:ind/>
    </w:pPr>
  </w:style>
  <w:style w:type="table" w:styleId="76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64" w:default="1">
    <w:name w:val="No List"/>
    <w:uiPriority w:val="99"/>
    <w:semiHidden/>
    <w:unhideWhenUsed/>
    <w:pPr>
      <w:pBdr/>
      <w:spacing/>
      <w:ind/>
    </w:pPr>
  </w:style>
  <w:style w:type="character" w:styleId="765">
    <w:name w:val="Intense Emphasis"/>
    <w:basedOn w:val="762"/>
    <w:uiPriority w:val="21"/>
    <w:qFormat/>
    <w:pPr>
      <w:pBdr/>
      <w:spacing/>
      <w:ind/>
    </w:pPr>
    <w:rPr>
      <w:i/>
      <w:iCs/>
      <w:color w:val="365f91" w:themeColor="accent1" w:themeShade="BF"/>
    </w:rPr>
  </w:style>
  <w:style w:type="character" w:styleId="766">
    <w:name w:val="Intense Reference"/>
    <w:basedOn w:val="762"/>
    <w:uiPriority w:val="32"/>
    <w:qFormat/>
    <w:pPr>
      <w:pBdr/>
      <w:spacing/>
      <w:ind/>
    </w:pPr>
    <w:rPr>
      <w:b/>
      <w:bCs/>
      <w:smallCaps/>
      <w:color w:val="365f91" w:themeColor="accent1" w:themeShade="BF"/>
      <w:spacing w:val="5"/>
    </w:rPr>
  </w:style>
  <w:style w:type="character" w:styleId="767">
    <w:name w:val="Subtle Emphasis"/>
    <w:basedOn w:val="762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768">
    <w:name w:val="Emphasis"/>
    <w:basedOn w:val="762"/>
    <w:uiPriority w:val="20"/>
    <w:qFormat/>
    <w:pPr>
      <w:pBdr/>
      <w:spacing/>
      <w:ind/>
    </w:pPr>
    <w:rPr>
      <w:i/>
      <w:iCs/>
    </w:rPr>
  </w:style>
  <w:style w:type="character" w:styleId="769">
    <w:name w:val="Strong"/>
    <w:basedOn w:val="762"/>
    <w:uiPriority w:val="22"/>
    <w:qFormat/>
    <w:pPr>
      <w:pBdr/>
      <w:spacing/>
      <w:ind/>
    </w:pPr>
    <w:rPr>
      <w:b/>
      <w:bCs/>
    </w:rPr>
  </w:style>
  <w:style w:type="character" w:styleId="770">
    <w:name w:val="Subtle Reference"/>
    <w:basedOn w:val="762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771">
    <w:name w:val="Book Title"/>
    <w:basedOn w:val="762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772">
    <w:name w:val="FollowedHyperlink"/>
    <w:basedOn w:val="762"/>
    <w:uiPriority w:val="99"/>
    <w:semiHidden/>
    <w:unhideWhenUsed/>
    <w:pPr>
      <w:pBdr/>
      <w:spacing/>
      <w:ind/>
    </w:pPr>
    <w:rPr>
      <w:color w:val="800080" w:themeColor="followedHyperlink"/>
      <w:u w:val="single"/>
    </w:rPr>
  </w:style>
  <w:style w:type="character" w:styleId="773">
    <w:name w:val="Placeholder Text"/>
    <w:basedOn w:val="762"/>
    <w:uiPriority w:val="99"/>
    <w:semiHidden/>
    <w:pPr>
      <w:pBdr/>
      <w:spacing/>
      <w:ind/>
    </w:pPr>
    <w:rPr>
      <w:color w:val="666666"/>
    </w:rPr>
  </w:style>
  <w:style w:type="character" w:styleId="774" w:customStyle="1">
    <w:name w:val="Title Char"/>
    <w:basedOn w:val="762"/>
    <w:uiPriority w:val="10"/>
    <w:pPr>
      <w:pBdr/>
      <w:spacing/>
      <w:ind/>
    </w:pPr>
    <w:rPr>
      <w:sz w:val="48"/>
      <w:szCs w:val="48"/>
    </w:rPr>
  </w:style>
  <w:style w:type="character" w:styleId="775" w:customStyle="1">
    <w:name w:val="Subtitle Char"/>
    <w:basedOn w:val="762"/>
    <w:uiPriority w:val="11"/>
    <w:pPr>
      <w:pBdr/>
      <w:spacing/>
      <w:ind/>
    </w:pPr>
    <w:rPr>
      <w:sz w:val="24"/>
      <w:szCs w:val="24"/>
    </w:rPr>
  </w:style>
  <w:style w:type="character" w:styleId="776" w:customStyle="1">
    <w:name w:val="Quote Char"/>
    <w:uiPriority w:val="29"/>
    <w:pPr>
      <w:pBdr/>
      <w:spacing/>
      <w:ind/>
    </w:pPr>
    <w:rPr>
      <w:i/>
    </w:rPr>
  </w:style>
  <w:style w:type="character" w:styleId="777" w:customStyle="1">
    <w:name w:val="Intense Quote Char"/>
    <w:uiPriority w:val="30"/>
    <w:pPr>
      <w:pBdr/>
      <w:spacing/>
      <w:ind/>
    </w:pPr>
    <w:rPr>
      <w:i/>
    </w:rPr>
  </w:style>
  <w:style w:type="character" w:styleId="778" w:customStyle="1">
    <w:name w:val="Footnote Text Char"/>
    <w:uiPriority w:val="99"/>
    <w:pPr>
      <w:pBdr/>
      <w:spacing/>
      <w:ind/>
    </w:pPr>
    <w:rPr>
      <w:sz w:val="18"/>
    </w:rPr>
  </w:style>
  <w:style w:type="character" w:styleId="779" w:customStyle="1">
    <w:name w:val="Endnote Text Char"/>
    <w:uiPriority w:val="99"/>
    <w:pPr>
      <w:pBdr/>
      <w:spacing/>
      <w:ind/>
    </w:pPr>
    <w:rPr>
      <w:sz w:val="20"/>
    </w:rPr>
  </w:style>
  <w:style w:type="paragraph" w:styleId="780" w:customStyle="1">
    <w:name w:val="Заголовок 11"/>
    <w:basedOn w:val="761"/>
    <w:next w:val="761"/>
    <w:link w:val="781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781" w:customStyle="1">
    <w:name w:val="Heading 1 Char"/>
    <w:basedOn w:val="762"/>
    <w:link w:val="780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782" w:customStyle="1">
    <w:name w:val="Заголовок 21"/>
    <w:basedOn w:val="761"/>
    <w:next w:val="761"/>
    <w:link w:val="783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783" w:customStyle="1">
    <w:name w:val="Heading 2 Char"/>
    <w:basedOn w:val="762"/>
    <w:link w:val="782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784" w:customStyle="1">
    <w:name w:val="Заголовок 31"/>
    <w:basedOn w:val="761"/>
    <w:next w:val="761"/>
    <w:link w:val="785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785" w:customStyle="1">
    <w:name w:val="Heading 3 Char"/>
    <w:basedOn w:val="762"/>
    <w:link w:val="784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786" w:customStyle="1">
    <w:name w:val="Заголовок 41"/>
    <w:basedOn w:val="761"/>
    <w:next w:val="761"/>
    <w:link w:val="787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87" w:customStyle="1">
    <w:name w:val="Heading 4 Char"/>
    <w:basedOn w:val="762"/>
    <w:link w:val="786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788" w:customStyle="1">
    <w:name w:val="Заголовок 51"/>
    <w:basedOn w:val="761"/>
    <w:next w:val="761"/>
    <w:link w:val="789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</w:rPr>
  </w:style>
  <w:style w:type="character" w:styleId="789" w:customStyle="1">
    <w:name w:val="Heading 5 Char"/>
    <w:basedOn w:val="762"/>
    <w:link w:val="788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790" w:customStyle="1">
    <w:name w:val="Заголовок 61"/>
    <w:basedOn w:val="761"/>
    <w:next w:val="761"/>
    <w:link w:val="791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91" w:customStyle="1">
    <w:name w:val="Heading 6 Char"/>
    <w:basedOn w:val="762"/>
    <w:link w:val="790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792" w:customStyle="1">
    <w:name w:val="Заголовок 71"/>
    <w:basedOn w:val="761"/>
    <w:next w:val="761"/>
    <w:link w:val="793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93" w:customStyle="1">
    <w:name w:val="Heading 7 Char"/>
    <w:basedOn w:val="762"/>
    <w:link w:val="792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94" w:customStyle="1">
    <w:name w:val="Заголовок 81"/>
    <w:basedOn w:val="761"/>
    <w:next w:val="761"/>
    <w:link w:val="795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95" w:customStyle="1">
    <w:name w:val="Heading 8 Char"/>
    <w:basedOn w:val="762"/>
    <w:link w:val="794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96" w:customStyle="1">
    <w:name w:val="Заголовок 91"/>
    <w:basedOn w:val="761"/>
    <w:next w:val="761"/>
    <w:link w:val="797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97" w:customStyle="1">
    <w:name w:val="Heading 9 Char"/>
    <w:basedOn w:val="762"/>
    <w:link w:val="796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98">
    <w:name w:val="No Spacing"/>
    <w:uiPriority w:val="1"/>
    <w:qFormat/>
    <w:pPr>
      <w:pBdr/>
      <w:spacing w:after="0" w:line="240" w:lineRule="auto"/>
      <w:ind/>
    </w:pPr>
  </w:style>
  <w:style w:type="paragraph" w:styleId="799">
    <w:name w:val="Title"/>
    <w:basedOn w:val="761"/>
    <w:next w:val="761"/>
    <w:link w:val="800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800" w:customStyle="1">
    <w:name w:val="Название Знак"/>
    <w:basedOn w:val="762"/>
    <w:link w:val="799"/>
    <w:uiPriority w:val="10"/>
    <w:pPr>
      <w:pBdr/>
      <w:spacing/>
      <w:ind/>
    </w:pPr>
    <w:rPr>
      <w:sz w:val="48"/>
      <w:szCs w:val="48"/>
    </w:rPr>
  </w:style>
  <w:style w:type="paragraph" w:styleId="801">
    <w:name w:val="Subtitle"/>
    <w:basedOn w:val="761"/>
    <w:next w:val="761"/>
    <w:link w:val="802"/>
    <w:uiPriority w:val="11"/>
    <w:qFormat/>
    <w:pPr>
      <w:pBdr/>
      <w:spacing w:after="200" w:before="200"/>
      <w:ind/>
    </w:pPr>
  </w:style>
  <w:style w:type="character" w:styleId="802" w:customStyle="1">
    <w:name w:val="Подзаголовок Знак"/>
    <w:basedOn w:val="762"/>
    <w:link w:val="801"/>
    <w:uiPriority w:val="11"/>
    <w:pPr>
      <w:pBdr/>
      <w:spacing/>
      <w:ind/>
    </w:pPr>
    <w:rPr>
      <w:sz w:val="24"/>
      <w:szCs w:val="24"/>
    </w:rPr>
  </w:style>
  <w:style w:type="paragraph" w:styleId="803">
    <w:name w:val="Quote"/>
    <w:basedOn w:val="761"/>
    <w:next w:val="761"/>
    <w:link w:val="804"/>
    <w:uiPriority w:val="29"/>
    <w:qFormat/>
    <w:pPr>
      <w:pBdr/>
      <w:spacing/>
      <w:ind w:right="720" w:left="720"/>
    </w:pPr>
    <w:rPr>
      <w:i/>
    </w:rPr>
  </w:style>
  <w:style w:type="character" w:styleId="804" w:customStyle="1">
    <w:name w:val="Цитата 2 Знак"/>
    <w:link w:val="803"/>
    <w:uiPriority w:val="29"/>
    <w:pPr>
      <w:pBdr/>
      <w:spacing/>
      <w:ind/>
    </w:pPr>
    <w:rPr>
      <w:i/>
    </w:rPr>
  </w:style>
  <w:style w:type="paragraph" w:styleId="805">
    <w:name w:val="Intense Quote"/>
    <w:basedOn w:val="761"/>
    <w:next w:val="761"/>
    <w:link w:val="806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</w:pPr>
    <w:rPr>
      <w:i/>
    </w:rPr>
  </w:style>
  <w:style w:type="character" w:styleId="806" w:customStyle="1">
    <w:name w:val="Выделенная цитата Знак"/>
    <w:link w:val="805"/>
    <w:uiPriority w:val="30"/>
    <w:pPr>
      <w:pBdr/>
      <w:spacing/>
      <w:ind/>
    </w:pPr>
    <w:rPr>
      <w:i/>
    </w:rPr>
  </w:style>
  <w:style w:type="character" w:styleId="807" w:customStyle="1">
    <w:name w:val="Header Char"/>
    <w:basedOn w:val="762"/>
    <w:uiPriority w:val="99"/>
    <w:pPr>
      <w:pBdr/>
      <w:spacing/>
      <w:ind/>
    </w:pPr>
  </w:style>
  <w:style w:type="character" w:styleId="808" w:customStyle="1">
    <w:name w:val="Footer Char"/>
    <w:basedOn w:val="762"/>
    <w:uiPriority w:val="99"/>
    <w:pPr>
      <w:pBdr/>
      <w:spacing/>
      <w:ind/>
    </w:pPr>
  </w:style>
  <w:style w:type="paragraph" w:styleId="809" w:customStyle="1">
    <w:name w:val="Название объекта1"/>
    <w:basedOn w:val="761"/>
    <w:next w:val="761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810" w:customStyle="1">
    <w:name w:val="Caption Char"/>
    <w:uiPriority w:val="99"/>
    <w:pPr>
      <w:pBdr/>
      <w:spacing/>
      <w:ind/>
    </w:pPr>
  </w:style>
  <w:style w:type="table" w:styleId="811" w:customStyle="1">
    <w:name w:val="Table Grid Light"/>
    <w:basedOn w:val="76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 w:customStyle="1">
    <w:name w:val="Plain Table 1"/>
    <w:basedOn w:val="76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0" w:fill="ffffff" w:themeFill="text1" w:themeFillTint="0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0" w:fill="ffffff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 w:customStyle="1">
    <w:name w:val="Plain Table 2"/>
    <w:basedOn w:val="76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 w:customStyle="1">
    <w:name w:val="Plain Table 3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0" w:fill="ffffff" w:themeFill="text1" w:themeFillTint="0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0" w:fill="ffffff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 w:customStyle="1">
    <w:name w:val="Plain Table 4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0" w:fill="ffffff" w:themeFill="text1" w:themeFillTint="0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0" w:fill="ffffff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 w:customStyle="1">
    <w:name w:val="Plain Table 5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0" w:fill="ffffff" w:themeFill="text1" w:themeFillTint="0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0" w:fill="ffffff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 w:customStyle="1">
    <w:name w:val="Grid Table 1 Light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 w:customStyle="1">
    <w:name w:val="Grid Table 1 Light - Accent 1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 w:customStyle="1">
    <w:name w:val="Grid Table 1 Light - Accent 2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 w:customStyle="1">
    <w:name w:val="Grid Table 1 Light - Accent 3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 w:customStyle="1">
    <w:name w:val="Grid Table 1 Light - Accent 4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 w:customStyle="1">
    <w:name w:val="Grid Table 1 Light - Accent 5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 w:customStyle="1">
    <w:name w:val="Grid Table 1 Light - Accent 6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 w:customStyle="1">
    <w:name w:val="Grid Table 2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 w:customStyle="1">
    <w:name w:val="Grid Table 2 - Accent 1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Grid Table 2 - Accent 2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 w:customStyle="1">
    <w:name w:val="Grid Table 2 - Accent 3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Grid Table 2 - Accent 4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 w:customStyle="1">
    <w:name w:val="Grid Table 2 - Accent 5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 w:customStyle="1">
    <w:name w:val="Grid Table 2 - Accent 6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 w:customStyle="1">
    <w:name w:val="Grid Table 3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 w:customStyle="1">
    <w:name w:val="Grid Table 3 - Accent 1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Grid Table 3 - Accent 2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 w:customStyle="1">
    <w:name w:val="Grid Table 3 - Accent 3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Grid Table 3 - Accent 4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Grid Table 3 - Accent 5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Grid Table 3 - Accent 6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 w:customStyle="1">
    <w:name w:val="Grid Table 4"/>
    <w:basedOn w:val="76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 w:customStyle="1">
    <w:name w:val="Grid Table 4 - Accent 1"/>
    <w:basedOn w:val="76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d8ac2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Grid Table 4 - Accent 2"/>
    <w:basedOn w:val="76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Grid Table 4 - Accent 3"/>
    <w:basedOn w:val="76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abb59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Grid Table 4 - Accent 4"/>
    <w:basedOn w:val="76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Grid Table 4 - Accent 5"/>
    <w:basedOn w:val="76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Grid Table 4 - Accent 6"/>
    <w:basedOn w:val="76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 w:customStyle="1">
    <w:name w:val="Grid Table 5 Dark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Grid Table 5 Dark- Accent 1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Grid Table 5 Dark - Accent 2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Grid Table 5 Dark - Accent 3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Grid Table 5 Dark- Accent 4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Grid Table 5 Dark - Accent 5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Grid Table 5 Dark - Accent 6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 w:customStyle="1">
    <w:name w:val="Grid Table 6 Colorful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 w:customStyle="1">
    <w:name w:val="Grid Table 6 Colorful - Accent 1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 w:customStyle="1">
    <w:name w:val="Grid Table 6 Colorful - Accent 2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 w:customStyle="1">
    <w:name w:val="Grid Table 6 Colorful - Accent 3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 w:customStyle="1">
    <w:name w:val="Grid Table 6 Colorful - Accent 4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 w:customStyle="1">
    <w:name w:val="Grid Table 6 Colorful - Accent 5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 w:customStyle="1">
    <w:name w:val="Grid Table 6 Colorful - Accent 6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 w:customStyle="1">
    <w:name w:val="Grid Table 7 Colorful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0" w:fill="ffffff" w:themeFill="text1" w:themeFillTint="0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0" w:fill="ffffff" w:themeFill="text1" w:themeFillTint="0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 w:customStyle="1">
    <w:name w:val="Grid Table 7 Colorful - Accent 1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 w:customStyle="1">
    <w:name w:val="Grid Table 7 Colorful - Accent 2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 w:customStyle="1">
    <w:name w:val="Grid Table 7 Colorful - Accent 3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 w:customStyle="1">
    <w:name w:val="Grid Table 7 Colorful - Accent 4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 w:customStyle="1">
    <w:name w:val="Grid Table 7 Colorful - Accent 5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 w:customStyle="1">
    <w:name w:val="Grid Table 7 Colorful - Accent 6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 w:customStyle="1">
    <w:name w:val="List Table 1 Light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 w:customStyle="1">
    <w:name w:val="List Table 1 Light - Accent 1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 w:customStyle="1">
    <w:name w:val="List Table 1 Light - Accent 2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 w:customStyle="1">
    <w:name w:val="List Table 1 Light - Accent 3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 w:customStyle="1">
    <w:name w:val="List Table 1 Light - Accent 4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 w:customStyle="1">
    <w:name w:val="List Table 1 Light - Accent 5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 w:customStyle="1">
    <w:name w:val="List Table 1 Light - Accent 6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 w:customStyle="1">
    <w:name w:val="List Table 2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 w:customStyle="1">
    <w:name w:val="List Table 2 - Accent 1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 w:customStyle="1">
    <w:name w:val="List Table 2 - Accent 2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 w:customStyle="1">
    <w:name w:val="List Table 2 - Accent 3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 w:customStyle="1">
    <w:name w:val="List Table 2 - Accent 4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 w:customStyle="1">
    <w:name w:val="List Table 2 - Accent 5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 w:customStyle="1">
    <w:name w:val="List Table 2 - Accent 6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 w:customStyle="1">
    <w:name w:val="List Table 3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 w:customStyle="1">
    <w:name w:val="List Table 3 - Accent 1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 w:customStyle="1">
    <w:name w:val="List Table 3 - Accent 2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 w:customStyle="1">
    <w:name w:val="List Table 3 - Accent 3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 w:customStyle="1">
    <w:name w:val="List Table 3 - Accent 4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 w:customStyle="1">
    <w:name w:val="List Table 3 - Accent 5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 w:customStyle="1">
    <w:name w:val="List Table 3 - Accent 6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 w:customStyle="1">
    <w:name w:val="List Table 4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 w:customStyle="1">
    <w:name w:val="List Table 4 - Accent 1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 w:customStyle="1">
    <w:name w:val="List Table 4 - Accent 2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 w:customStyle="1">
    <w:name w:val="List Table 4 - Accent 3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 w:customStyle="1">
    <w:name w:val="List Table 4 - Accent 4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 w:customStyle="1">
    <w:name w:val="List Table 4 - Accent 5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 w:customStyle="1">
    <w:name w:val="List Table 4 - Accent 6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 w:customStyle="1">
    <w:name w:val="List Table 5 Dark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 w:customStyle="1">
    <w:name w:val="List Table 5 Dark - Accent 1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 w:customStyle="1">
    <w:name w:val="List Table 5 Dark - Accent 2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 w:customStyle="1">
    <w:name w:val="List Table 5 Dark - Accent 3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 w:customStyle="1">
    <w:name w:val="List Table 5 Dark - Accent 4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 w:customStyle="1">
    <w:name w:val="List Table 5 Dark - Accent 5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 w:customStyle="1">
    <w:name w:val="List Table 5 Dark - Accent 6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 w:customStyle="1">
    <w:name w:val="List Table 6 Colorful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 w:customStyle="1">
    <w:name w:val="List Table 6 Colorful - Accent 1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4" w:space="0"/>
        <w:bottom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 w:customStyle="1">
    <w:name w:val="List Table 6 Colorful - Accent 2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 w:customStyle="1">
    <w:name w:val="List Table 6 Colorful - Accent 3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 w:customStyle="1">
    <w:name w:val="List Table 6 Colorful - Accent 4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 w:customStyle="1">
    <w:name w:val="List Table 6 Colorful - Accent 5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 w:customStyle="1">
    <w:name w:val="List Table 6 Colorful - Accent 6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 w:customStyle="1">
    <w:name w:val="List Table 7 Colorful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 w:customStyle="1">
    <w:name w:val="List Table 7 Colorful - Accent 1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 w:customStyle="1">
    <w:name w:val="List Table 7 Colorful - Accent 2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 w:customStyle="1">
    <w:name w:val="List Table 7 Colorful - Accent 3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 w:customStyle="1">
    <w:name w:val="List Table 7 Colorful - Accent 4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 w:customStyle="1">
    <w:name w:val="List Table 7 Colorful - Accent 5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 w:customStyle="1">
    <w:name w:val="List Table 7 Colorful - Accent 6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 w:customStyle="1">
    <w:name w:val="Lined - Accent"/>
    <w:basedOn w:val="763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0" w:fill="ffffff" w:themeFill="text1" w:themeFillTint="0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0" w:fill="ffffff" w:themeFill="text1" w:themeFillTint="0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 w:customStyle="1">
    <w:name w:val="Lined - Accent 1"/>
    <w:basedOn w:val="763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 w:customStyle="1">
    <w:name w:val="Lined - Accent 2"/>
    <w:basedOn w:val="763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 w:customStyle="1">
    <w:name w:val="Lined - Accent 3"/>
    <w:basedOn w:val="763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 w:customStyle="1">
    <w:name w:val="Lined - Accent 4"/>
    <w:basedOn w:val="763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 w:customStyle="1">
    <w:name w:val="Lined - Accent 5"/>
    <w:basedOn w:val="763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 w:customStyle="1">
    <w:name w:val="Lined - Accent 6"/>
    <w:basedOn w:val="763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 w:customStyle="1">
    <w:name w:val="Bordered &amp; Lined - Accent"/>
    <w:basedOn w:val="763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0" w:fill="ffffff" w:themeFill="text1" w:themeFillTint="0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0" w:fill="ffffff" w:themeFill="text1" w:themeFillTint="0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 w:customStyle="1">
    <w:name w:val="Bordered &amp; Lined - Accent 1"/>
    <w:basedOn w:val="763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 w:customStyle="1">
    <w:name w:val="Bordered &amp; Lined - Accent 2"/>
    <w:basedOn w:val="763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 w:customStyle="1">
    <w:name w:val="Bordered &amp; Lined - Accent 3"/>
    <w:basedOn w:val="763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 w:customStyle="1">
    <w:name w:val="Bordered &amp; Lined - Accent 4"/>
    <w:basedOn w:val="763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 w:customStyle="1">
    <w:name w:val="Bordered &amp; Lined - Accent 5"/>
    <w:basedOn w:val="763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 w:customStyle="1">
    <w:name w:val="Bordered &amp; Lined - Accent 6"/>
    <w:basedOn w:val="763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 w:customStyle="1">
    <w:name w:val="Bordered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 w:customStyle="1">
    <w:name w:val="Bordered - Accent 1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 w:customStyle="1">
    <w:name w:val="Bordered - Accent 2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 w:customStyle="1">
    <w:name w:val="Bordered - Accent 3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 w:customStyle="1">
    <w:name w:val="Bordered - Accent 4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 w:customStyle="1">
    <w:name w:val="Bordered - Accent 5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 w:customStyle="1">
    <w:name w:val="Bordered - Accent 6"/>
    <w:basedOn w:val="76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36">
    <w:name w:val="footnote text"/>
    <w:basedOn w:val="761"/>
    <w:link w:val="937"/>
    <w:uiPriority w:val="99"/>
    <w:semiHidden/>
    <w:unhideWhenUsed/>
    <w:pPr>
      <w:pBdr/>
      <w:spacing w:after="40"/>
      <w:ind/>
    </w:pPr>
    <w:rPr>
      <w:sz w:val="18"/>
    </w:rPr>
  </w:style>
  <w:style w:type="character" w:styleId="937" w:customStyle="1">
    <w:name w:val="Текст сноски Знак"/>
    <w:link w:val="936"/>
    <w:uiPriority w:val="99"/>
    <w:pPr>
      <w:pBdr/>
      <w:spacing/>
      <w:ind/>
    </w:pPr>
    <w:rPr>
      <w:sz w:val="18"/>
    </w:rPr>
  </w:style>
  <w:style w:type="character" w:styleId="938">
    <w:name w:val="footnote reference"/>
    <w:basedOn w:val="762"/>
    <w:uiPriority w:val="99"/>
    <w:unhideWhenUsed/>
    <w:pPr>
      <w:pBdr/>
      <w:spacing/>
      <w:ind/>
    </w:pPr>
    <w:rPr>
      <w:vertAlign w:val="superscript"/>
    </w:rPr>
  </w:style>
  <w:style w:type="paragraph" w:styleId="939">
    <w:name w:val="endnote text"/>
    <w:basedOn w:val="761"/>
    <w:link w:val="940"/>
    <w:uiPriority w:val="99"/>
    <w:semiHidden/>
    <w:unhideWhenUsed/>
    <w:pPr>
      <w:pBdr/>
      <w:spacing/>
      <w:ind/>
    </w:pPr>
    <w:rPr>
      <w:sz w:val="20"/>
    </w:rPr>
  </w:style>
  <w:style w:type="character" w:styleId="940" w:customStyle="1">
    <w:name w:val="Текст концевой сноски Знак"/>
    <w:link w:val="939"/>
    <w:uiPriority w:val="99"/>
    <w:pPr>
      <w:pBdr/>
      <w:spacing/>
      <w:ind/>
    </w:pPr>
    <w:rPr>
      <w:sz w:val="20"/>
    </w:rPr>
  </w:style>
  <w:style w:type="character" w:styleId="941">
    <w:name w:val="endnote reference"/>
    <w:basedOn w:val="762"/>
    <w:uiPriority w:val="99"/>
    <w:semiHidden/>
    <w:unhideWhenUsed/>
    <w:pPr>
      <w:pBdr/>
      <w:spacing/>
      <w:ind/>
    </w:pPr>
    <w:rPr>
      <w:vertAlign w:val="superscript"/>
    </w:rPr>
  </w:style>
  <w:style w:type="paragraph" w:styleId="942">
    <w:name w:val="toc 1"/>
    <w:basedOn w:val="761"/>
    <w:next w:val="761"/>
    <w:uiPriority w:val="39"/>
    <w:unhideWhenUsed/>
    <w:pPr>
      <w:pBdr/>
      <w:spacing w:after="57"/>
      <w:ind/>
    </w:pPr>
  </w:style>
  <w:style w:type="paragraph" w:styleId="943">
    <w:name w:val="toc 2"/>
    <w:basedOn w:val="761"/>
    <w:next w:val="761"/>
    <w:uiPriority w:val="39"/>
    <w:unhideWhenUsed/>
    <w:pPr>
      <w:pBdr/>
      <w:spacing w:after="57"/>
      <w:ind w:left="283"/>
    </w:pPr>
  </w:style>
  <w:style w:type="paragraph" w:styleId="944">
    <w:name w:val="toc 3"/>
    <w:basedOn w:val="761"/>
    <w:next w:val="761"/>
    <w:uiPriority w:val="39"/>
    <w:unhideWhenUsed/>
    <w:pPr>
      <w:pBdr/>
      <w:spacing w:after="57"/>
      <w:ind w:left="567"/>
    </w:pPr>
  </w:style>
  <w:style w:type="paragraph" w:styleId="945">
    <w:name w:val="toc 4"/>
    <w:basedOn w:val="761"/>
    <w:next w:val="761"/>
    <w:uiPriority w:val="39"/>
    <w:unhideWhenUsed/>
    <w:pPr>
      <w:pBdr/>
      <w:spacing w:after="57"/>
      <w:ind w:left="850"/>
    </w:pPr>
  </w:style>
  <w:style w:type="paragraph" w:styleId="946">
    <w:name w:val="toc 5"/>
    <w:basedOn w:val="761"/>
    <w:next w:val="761"/>
    <w:uiPriority w:val="39"/>
    <w:unhideWhenUsed/>
    <w:pPr>
      <w:pBdr/>
      <w:spacing w:after="57"/>
      <w:ind w:left="1134"/>
    </w:pPr>
  </w:style>
  <w:style w:type="paragraph" w:styleId="947">
    <w:name w:val="toc 6"/>
    <w:basedOn w:val="761"/>
    <w:next w:val="761"/>
    <w:uiPriority w:val="39"/>
    <w:unhideWhenUsed/>
    <w:pPr>
      <w:pBdr/>
      <w:spacing w:after="57"/>
      <w:ind w:left="1417"/>
    </w:pPr>
  </w:style>
  <w:style w:type="paragraph" w:styleId="948">
    <w:name w:val="toc 7"/>
    <w:basedOn w:val="761"/>
    <w:next w:val="761"/>
    <w:uiPriority w:val="39"/>
    <w:unhideWhenUsed/>
    <w:pPr>
      <w:pBdr/>
      <w:spacing w:after="57"/>
      <w:ind w:left="1701"/>
    </w:pPr>
  </w:style>
  <w:style w:type="paragraph" w:styleId="949">
    <w:name w:val="toc 8"/>
    <w:basedOn w:val="761"/>
    <w:next w:val="761"/>
    <w:uiPriority w:val="39"/>
    <w:unhideWhenUsed/>
    <w:pPr>
      <w:pBdr/>
      <w:spacing w:after="57"/>
      <w:ind w:left="1984"/>
    </w:pPr>
  </w:style>
  <w:style w:type="paragraph" w:styleId="950">
    <w:name w:val="toc 9"/>
    <w:basedOn w:val="761"/>
    <w:next w:val="761"/>
    <w:uiPriority w:val="39"/>
    <w:unhideWhenUsed/>
    <w:pPr>
      <w:pBdr/>
      <w:spacing w:after="57"/>
      <w:ind w:left="2268"/>
    </w:pPr>
  </w:style>
  <w:style w:type="paragraph" w:styleId="951">
    <w:name w:val="TOC Heading"/>
    <w:uiPriority w:val="39"/>
    <w:unhideWhenUsed/>
    <w:pPr>
      <w:pBdr/>
      <w:spacing/>
      <w:ind/>
    </w:pPr>
  </w:style>
  <w:style w:type="paragraph" w:styleId="952">
    <w:name w:val="table of figures"/>
    <w:basedOn w:val="761"/>
    <w:next w:val="761"/>
    <w:uiPriority w:val="99"/>
    <w:unhideWhenUsed/>
    <w:pPr>
      <w:pBdr/>
      <w:spacing/>
      <w:ind/>
    </w:pPr>
  </w:style>
  <w:style w:type="character" w:styleId="953">
    <w:name w:val="Hyperlink"/>
    <w:basedOn w:val="762"/>
    <w:uiPriority w:val="99"/>
    <w:unhideWhenUsed/>
    <w:pPr>
      <w:pBdr/>
      <w:spacing/>
      <w:ind/>
    </w:pPr>
    <w:rPr>
      <w:color w:val="0000ff"/>
      <w:u w:val="single"/>
    </w:rPr>
  </w:style>
  <w:style w:type="paragraph" w:styleId="954" w:customStyle="1">
    <w:name w:val="Верхний колонтитул1"/>
    <w:basedOn w:val="761"/>
    <w:link w:val="955"/>
    <w:uiPriority w:val="99"/>
    <w:unhideWhenUsed/>
    <w:pPr>
      <w:pBdr/>
      <w:tabs>
        <w:tab w:val="center" w:leader="none" w:pos="4677"/>
        <w:tab w:val="right" w:leader="none" w:pos="9355"/>
      </w:tabs>
      <w:spacing/>
      <w:ind/>
    </w:pPr>
  </w:style>
  <w:style w:type="character" w:styleId="955" w:customStyle="1">
    <w:name w:val="Верхний колонтитул Знак"/>
    <w:basedOn w:val="762"/>
    <w:link w:val="954"/>
    <w:uiPriority w:val="99"/>
    <w:pPr>
      <w:pBdr/>
      <w:spacing/>
      <w:ind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56">
    <w:name w:val="Balloon Text"/>
    <w:basedOn w:val="761"/>
    <w:link w:val="957"/>
    <w:uiPriority w:val="99"/>
    <w:semiHidden/>
    <w:unhideWhenUsed/>
    <w:pPr>
      <w:pBdr/>
      <w:spacing/>
      <w:ind/>
    </w:pPr>
    <w:rPr>
      <w:rFonts w:ascii="Tahoma" w:hAnsi="Tahoma" w:cs="Tahoma"/>
      <w:sz w:val="16"/>
      <w:szCs w:val="16"/>
    </w:rPr>
  </w:style>
  <w:style w:type="character" w:styleId="957" w:customStyle="1">
    <w:name w:val="Текст выноски Знак"/>
    <w:basedOn w:val="762"/>
    <w:link w:val="956"/>
    <w:uiPriority w:val="99"/>
    <w:semiHidden/>
    <w:pPr>
      <w:pBdr/>
      <w:spacing/>
      <w:ind/>
    </w:pPr>
    <w:rPr>
      <w:rFonts w:ascii="Tahoma" w:hAnsi="Tahoma" w:eastAsia="Times New Roman" w:cs="Tahoma"/>
      <w:sz w:val="16"/>
      <w:szCs w:val="16"/>
      <w:lang w:eastAsia="ru-RU"/>
    </w:rPr>
  </w:style>
  <w:style w:type="paragraph" w:styleId="958">
    <w:name w:val="List Paragraph"/>
    <w:basedOn w:val="761"/>
    <w:uiPriority w:val="34"/>
    <w:qFormat/>
    <w:pPr>
      <w:pBdr/>
      <w:spacing/>
      <w:ind w:left="720"/>
      <w:contextualSpacing w:val="true"/>
    </w:pPr>
  </w:style>
  <w:style w:type="table" w:styleId="959">
    <w:name w:val="Table Grid"/>
    <w:basedOn w:val="76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60" w:customStyle="1">
    <w:name w:val="Нижний колонтитул1"/>
    <w:basedOn w:val="761"/>
    <w:link w:val="961"/>
    <w:uiPriority w:val="99"/>
    <w:unhideWhenUsed/>
    <w:pPr>
      <w:pBdr/>
      <w:tabs>
        <w:tab w:val="center" w:leader="none" w:pos="4677"/>
        <w:tab w:val="right" w:leader="none" w:pos="9355"/>
      </w:tabs>
      <w:spacing/>
      <w:ind/>
    </w:pPr>
  </w:style>
  <w:style w:type="character" w:styleId="961" w:customStyle="1">
    <w:name w:val="Нижний колонтитул Знак"/>
    <w:basedOn w:val="762"/>
    <w:link w:val="960"/>
    <w:uiPriority w:val="99"/>
    <w:pPr>
      <w:pBdr/>
      <w:spacing/>
      <w:ind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62" w:customStyle="1">
    <w:name w:val="ConsPlusNormal"/>
    <w:pPr>
      <w:widowControl w:val="false"/>
      <w:pBdr/>
      <w:spacing w:after="0" w:line="240" w:lineRule="auto"/>
      <w:ind/>
    </w:pPr>
    <w:rPr>
      <w:rFonts w:ascii="Calibri" w:hAnsi="Calibri" w:eastAsia="Times New Roman" w:cs="Calibri"/>
      <w:szCs w:val="20"/>
      <w:lang w:eastAsia="ru-RU"/>
    </w:rPr>
  </w:style>
  <w:style w:type="paragraph" w:styleId="963">
    <w:name w:val="Normal (Web)"/>
    <w:basedOn w:val="761"/>
    <w:uiPriority w:val="99"/>
    <w:unhideWhenUsed/>
    <w:pPr>
      <w:pBdr/>
      <w:spacing w:after="100" w:afterAutospacing="1" w:before="100" w:beforeAutospacing="1"/>
      <w:ind/>
    </w:pPr>
  </w:style>
  <w:style w:type="paragraph" w:styleId="964" w:customStyle="1">
    <w:name w:val="ConsPlusNonformat"/>
    <w:pPr>
      <w:widowControl w:val="false"/>
      <w:pBdr/>
      <w:spacing w:after="0" w:line="240" w:lineRule="auto"/>
      <w:ind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965" w:customStyle="1">
    <w:name w:val="formattext"/>
    <w:basedOn w:val="761"/>
    <w:pPr>
      <w:pBdr/>
      <w:spacing w:after="100" w:afterAutospacing="1" w:before="100" w:beforeAutospacing="1"/>
      <w:ind/>
    </w:pPr>
  </w:style>
  <w:style w:type="paragraph" w:styleId="966" w:customStyle="1">
    <w:name w:val="Основной текст1"/>
    <w:pPr>
      <w:widowControl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clear" w:color="auto" w:fill="ffffff"/>
      <w:spacing w:after="0" w:line="254" w:lineRule="auto"/>
      <w:ind w:firstLine="400"/>
    </w:pPr>
    <w:rPr>
      <w:rFonts w:ascii="Arial" w:hAnsi="Arial" w:eastAsia="Arial" w:cs="Arial"/>
      <w:color w:val="000000"/>
      <w:lang w:eastAsia="ru-RU" w:bidi="ru-RU"/>
    </w:rPr>
  </w:style>
  <w:style w:type="paragraph" w:styleId="967">
    <w:name w:val="Header"/>
    <w:basedOn w:val="761"/>
    <w:link w:val="968"/>
    <w:uiPriority w:val="99"/>
    <w:semiHidden/>
    <w:unhideWhenUsed/>
    <w:pPr>
      <w:pBdr/>
      <w:tabs>
        <w:tab w:val="center" w:leader="none" w:pos="4677"/>
        <w:tab w:val="right" w:leader="none" w:pos="9355"/>
      </w:tabs>
      <w:spacing/>
      <w:ind/>
    </w:pPr>
  </w:style>
  <w:style w:type="character" w:styleId="968" w:customStyle="1">
    <w:name w:val="Верхний колонтитул Знак1"/>
    <w:basedOn w:val="762"/>
    <w:link w:val="967"/>
    <w:uiPriority w:val="99"/>
    <w:semiHidden/>
    <w:pPr>
      <w:pBdr/>
      <w:spacing/>
      <w:ind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69">
    <w:name w:val="Footer"/>
    <w:basedOn w:val="761"/>
    <w:link w:val="970"/>
    <w:uiPriority w:val="99"/>
    <w:semiHidden/>
    <w:unhideWhenUsed/>
    <w:pPr>
      <w:pBdr/>
      <w:tabs>
        <w:tab w:val="center" w:leader="none" w:pos="4677"/>
        <w:tab w:val="right" w:leader="none" w:pos="9355"/>
      </w:tabs>
      <w:spacing/>
      <w:ind/>
    </w:pPr>
  </w:style>
  <w:style w:type="character" w:styleId="970" w:customStyle="1">
    <w:name w:val="Нижний колонтитул Знак1"/>
    <w:basedOn w:val="762"/>
    <w:link w:val="969"/>
    <w:uiPriority w:val="99"/>
    <w:semiHidden/>
    <w:pPr>
      <w:pBdr/>
      <w:spacing/>
      <w:ind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71" w:customStyle="1">
    <w:name w:val="ConsPlusTitle"/>
    <w:pPr>
      <w:widowControl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pacing w:after="0" w:line="240" w:lineRule="auto"/>
      <w:ind/>
    </w:pPr>
    <w:rPr>
      <w:rFonts w:ascii="Calibri" w:hAnsi="Calibri" w:cs="Calibri" w:eastAsiaTheme="minorEastAsia"/>
      <w:b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customXml" Target="../customXml/item1.xml" /><Relationship Id="rId13" Type="http://schemas.openxmlformats.org/officeDocument/2006/relationships/image" Target="media/image1.png"/><Relationship Id="rId14" Type="http://schemas.openxmlformats.org/officeDocument/2006/relationships/hyperlink" Target="https://login.consultant.ru/link/?req=doc&amp;base=LAW&amp;n=496567&amp;dst=100512" TargetMode="External"/><Relationship Id="rId15" Type="http://schemas.openxmlformats.org/officeDocument/2006/relationships/hyperlink" Target="https://login.consultant.ru/link/?req=doc&amp;base=LAW&amp;n=496567" TargetMode="External"/><Relationship Id="rId16" Type="http://schemas.openxmlformats.org/officeDocument/2006/relationships/hyperlink" Target="https://login.consultant.ru/link/?req=doc&amp;base=LAW&amp;n=496567&amp;dst=101391" TargetMode="External"/><Relationship Id="rId17" Type="http://schemas.openxmlformats.org/officeDocument/2006/relationships/hyperlink" Target="https://login.consultant.ru/link/?req=doc&amp;base=LAW&amp;n=495001&amp;dst=100634" TargetMode="External"/><Relationship Id="rId18" Type="http://schemas.openxmlformats.org/officeDocument/2006/relationships/hyperlink" Target="https://login.consultant.ru/link/?req=doc&amp;base=LAW&amp;n=495001&amp;dst=100636" TargetMode="External"/><Relationship Id="rId19" Type="http://schemas.openxmlformats.org/officeDocument/2006/relationships/hyperlink" Target="https://login.consultant.ru/link/?req=doc&amp;base=LAW&amp;n=495001&amp;dst=100637" TargetMode="External"/><Relationship Id="rId20" Type="http://schemas.openxmlformats.org/officeDocument/2006/relationships/hyperlink" Target="https://login.consultant.ru/link/?req=doc&amp;base=LAW&amp;n=495001&amp;dst=101187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4E5F85-53EC-4F82-AEC9-33CFC139A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ONLYOFFICE/9.0.0.172</Application>
  <DocSecurity>0</DocSecurity>
  <ScaleCrop>0</ScaleCrop>
  <HeadingPairs>
    <vt:vector size="0" baseType="variant"/>
  </HeadingPairs>
  <TitlesOfParts>
    <vt:vector size="0" baseType="lpstr"/>
  </TitlesOfParts>
  <Company>SPecialiST RePack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</dc:creator>
  <cp:revision>133</cp:revision>
  <dcterms:created xsi:type="dcterms:W3CDTF">2022-01-11T12:05:00Z</dcterms:created>
  <dcterms:modified xsi:type="dcterms:W3CDTF">2025-08-29T13:14:51Z</dcterms:modified>
</cp:coreProperties>
</file>